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657600"/>
            <wp:effectExtent t="0" r="0" b="0" l="0"/>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657600"/>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Rushenb, CC BY-SA 2.0, via Wikimedia Commons</w:t>
      </w:r>
    </w:p>
    <w:p>
      <w:pPr>
        <w:pStyle w:val="Title"/>
      </w:pPr>
      <w:r>
        <w:t xml:space="preserve">Shield Names</w:t>
      </w:r>
    </w:p>
    <w:p>
      <w:r>
        <w:t xml:space="preserve">In 1737 Carl Linnaeus, the Swedish botanist who gave us the two-part system of scientific names, named a plant after one of his loudest critics, Johann Georg Siegesbeck. The plant he picked was a small, smelly, unsightly weed. He even spelled Siegesbeck's name wrong.</w:t>
      </w:r>
    </w:p>
    <w:p>
      <w:r>
        <w:t xml:space="preserve">So from the very start, naming living things has had a nasty side. It is also where a big part of my working life has gone since 2013. In a short biography from around then I wrote that I had "become embroiled in the defense of herpetology against taxonomic vandalism." My day job is studying frogs, lizards and snakes in the tropics. Yet much of the work I am best known for is about something that sounds dull and turns out not to be: who gets to name an animal, and what happens when the naming goes wrong.</w:t>
      </w:r>
    </w:p>
    <w:p>
      <w:pPr>
        <w:pStyle w:val="Heading1"/>
      </w:pPr>
      <w:r>
        <w:t xml:space="preserve">Why a name is not just a name</w:t>
      </w:r>
    </w:p>
    <w:p>
      <w:r>
        <w:t xml:space="preserve">A scientific name, like </w:t>
      </w:r>
      <w:r>
        <w:rPr>
          <w:i/>
          <w:iCs/>
        </w:rPr>
        <w:t xml:space="preserve">Naja mossambica</w:t>
      </w:r>
      <w:r>
        <w:t xml:space="preserve"> for the Mozambique spitting cobra, is a label that links everything we know about a species. That includes its venom, its range, and whether it is threatened. Endangered species lists, the CITES treaty that controls the wildlife trade, and national laws all hang on these names. So does the label on an antivenom vial.</w:t>
      </w:r>
    </w:p>
    <w:p>
      <w:r>
        <w:t xml:space="preserve">When a name changes for no good reason, those links break. In our 2013 paper we warned that if a protected species suddenly carries a new name, it can slip through a legal loophole, still protected on paper but no longer recognised by the officers enforcing the law. We also warned about doctors in the middle of a snakebite emergency, unsure which antivenom matches a snake that has just been renamed. In that case, we wrote, it "may literally be a matter of life and death."</w:t>
      </w:r>
    </w:p>
    <w:p>
      <w:r>
        <w:t xml:space="preserve">I have seen the problem up close. In Timor-Leste, where I have worked since 2009, government officials drafting wildlife policy searched online for the country's reptiles. They found a mix of scientific names and unscientific ones. If both had gone into the document, two naming systems could have confused government policy and law enforcement for years.</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The rulebook for animal names</w:t>
            </w:r>
          </w:p>
          <w:p>
            <w:pPr>
              <w:pStyle w:val="FactText"/>
            </w:pPr>
            <w:r>
              <w:t xml:space="preserve">All animal names follow the </w:t>
            </w:r>
            <w:r>
              <w:rPr>
                <w:i/>
                <w:iCs/>
              </w:rPr>
              <w:t xml:space="preserve">International Code of Zoological Nomenclature</w:t>
            </w:r>
            <w:r>
              <w:t xml:space="preserve">, "the Code". It is now in its fourth edition (1999), and an international commission (the ICZN) looks after it. Its central rule is the Principle of Priority: the oldest properly published name wins. Each species name is tied to a type specimen, a real preserved animal in a museum that anchors the name for good.</w:t>
            </w:r>
          </w:p>
        </w:tc>
      </w:tr>
    </w:tbl>
    <w:p>
      <w:pPr>
        <w:spacing w:after="120"/>
      </w:pPr>
    </w:p>
    <w:p>
      <w:pPr>
        <w:pStyle w:val="Heading1"/>
      </w:pPr>
      <w:r>
        <w:t xml:space="preserve">The loophole</w:t>
      </w:r>
    </w:p>
    <w:p>
      <w:r>
        <w:t xml:space="preserve">The Code is a bookkeeping system, not a scientific one. I have called it an accounting system. It checks whether a name was published in the right form. It does not check whether any science stands behind the name. A description can be copied from someone else, can be about an animal the author never saw, or can even state that a species is red with black spots when the specimen is really blue with white spots. The name can still count.</w:t>
      </w:r>
    </w:p>
    <w:p>
      <w:r>
        <w:t xml:space="preserve">Add cheap desktop publishing, and a problem that has always existed became huge. Writers have called it "nominomania", the "mihi itch" (</w:t>
      </w:r>
      <w:r>
        <w:rPr>
          <w:i/>
          <w:iCs/>
        </w:rPr>
        <w:t xml:space="preserve">mihi</w:t>
      </w:r>
      <w:r>
        <w:t xml:space="preserve"> is Latin for "mine") and, most often, </w:t>
      </w:r>
      <w:r>
        <w:rPr>
          <w:b/>
          <w:bCs/>
        </w:rPr>
        <w:t xml:space="preserve">taxonomic vandalism</w:t>
      </w:r>
      <w:r>
        <w:t xml:space="preserve">. In Australia in the 1980s, Richard Wells and Ross Wellington named 256 new reptiles and amphibians in a journal they published themselves. From 2000 onwards, Raymond Hoser went much further. By January 2021 our count stood at 1,795 new names. Every one was single-authored, and all but 41 appeared in his own self-published, self-edited </w:t>
      </w:r>
      <w:r>
        <w:rPr>
          <w:i/>
          <w:iCs/>
        </w:rPr>
        <w:t xml:space="preserve">Australasian Journal of Herpetology</w:t>
      </w:r>
      <w:r>
        <w:t xml:space="preserve">. As we noted in 2021, the journal also carries intemperate attacks on anyone critical of his work.</w:t>
      </w:r>
    </w:p>
    <w:p>
      <w:r>
        <w:t xml:space="preserve">Under the Principle of Priority, anyone who later did the real work on these animals would be stuck with those names.</w:t>
      </w:r>
    </w:p>
    <w:p>
      <w:pPr>
        <w:keepNext/>
        <w:spacing w:after="80" w:before="240"/>
        <w:jc w:val="center"/>
      </w:pPr>
      <w:r>
        <w:drawing>
          <wp:inline distT="0" distB="0" distL="0" distR="0">
            <wp:extent cx="5486400" cy="3086100"/>
            <wp:effectExtent t="0" r="0" b="0" l="0"/>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086100"/>
                    </a:xfrm>
                    <a:prstGeom prst="rect">
                      <a:avLst/>
                    </a:prstGeom>
                  </pic:spPr>
                </pic:pic>
              </a:graphicData>
            </a:graphic>
          </wp:inline>
        </w:drawing>
      </w:r>
    </w:p>
    <w:p>
      <w:pPr>
        <w:spacing w:after="280"/>
      </w:pPr>
      <w:r>
        <w:rPr>
          <w:rFonts w:ascii="Calibri" w:cs="Calibri" w:eastAsia="Calibri" w:hAnsi="Calibri"/>
          <w:sz w:val="19"/>
          <w:szCs w:val="19"/>
        </w:rPr>
        <w:t xml:space="preserve">A Mozambique spitting cobra crawls out from under a wooden walkway at night.</w:t>
      </w:r>
      <w:r>
        <w:rPr>
          <w:rFonts w:ascii="Calibri" w:cs="Calibri" w:eastAsia="Calibri" w:hAnsi="Calibri"/>
          <w:color w:val="69716C"/>
          <w:sz w:val="16"/>
          <w:szCs w:val="16"/>
        </w:rPr>
        <w:t xml:space="preserve">  Photo: Robert Taylor, CC BY 4.0, via Wikimedia Commons</w:t>
      </w:r>
    </w:p>
    <w:p>
      <w:pPr>
        <w:pStyle w:val="Heading1"/>
      </w:pPr>
      <w:r>
        <w:t xml:space="preserve">Drawing a line in the sand</w:t>
      </w:r>
    </w:p>
    <w:p>
      <w:r>
        <w:t xml:space="preserve">In 2012 a group of us talked with herpetological societies around the world for about a year. Herpetologists are the scientists who study reptiles and amphibians. In March 2013 we published a peer-reviewed Point of View in </w:t>
      </w:r>
      <w:r>
        <w:rPr>
          <w:i/>
          <w:iCs/>
        </w:rPr>
        <w:t xml:space="preserve">Herpetological Review</w:t>
      </w:r>
      <w:r>
        <w:t xml:space="preserve">. Its title says what it argues: </w:t>
      </w:r>
      <w:r>
        <w:rPr>
          <w:i/>
          <w:iCs/>
        </w:rPr>
        <w:t xml:space="preserve">In the 21st Century, Taxonomic Decisions in Herpetology are Acceptable Only When Supported by a Body of Evidence and Published via Peer-Review</w:t>
      </w:r>
      <w:r>
        <w:t xml:space="preserve">.</w:t>
      </w:r>
    </w:p>
    <w:p>
      <w:r>
        <w:t xml:space="preserve">We set out best practices. A new species needs evidence, a list of the specimens examined with their museum numbers, and review by independent experts. We then drew a "line in the sand" at 1 January 2000. We listed the names from that date on that plainly failed those standards and asked everyone to stop using them until the Commission acted. Eleven major herpetological societies backed the proposal before it was published, including the World Congress of Herpetology. Hoser named it the "Kaiser Veto", and the name stuck.</w:t>
      </w:r>
    </w:p>
    <w:p>
      <w:pPr>
        <w:pStyle w:val="PullQuote"/>
      </w:pPr>
      <w:r>
        <w:t xml:space="preserve">"The negative practical impact of needlessly destabilizing taxonomy is likely to be more profound than any other type of fraud or error in herpetology." — Kaiser et al. 2013</w:t>
      </w:r>
    </w:p>
    <w:p>
      <w:r>
        <w:t xml:space="preserve">Later that year, in the </w:t>
      </w:r>
      <w:r>
        <w:rPr>
          <w:i/>
          <w:iCs/>
        </w:rPr>
        <w:t xml:space="preserve">Bulletin of Zoological Nomenclature</w:t>
      </w:r>
      <w:r>
        <w:t xml:space="preserve">, I suggested a more lasting fix. I called it a </w:t>
      </w:r>
      <w:r>
        <w:rPr>
          <w:b/>
          <w:bCs/>
        </w:rPr>
        <w:t xml:space="preserve">Taxon Filter</w:t>
      </w:r>
      <w:r>
        <w:t xml:space="preserve">, borrowing an idea from ICZN Commissioner Douglas Yanega. Verified taxonomists would vote online, quickly and in public, on whether a doubtful name should stand. In the same paper I described what was happening as a "name-laundering scheme": mass-produced names go in and "clean" names come out.</w:t>
      </w:r>
    </w:p>
    <w:p>
      <w:pPr>
        <w:pStyle w:val="Heading1"/>
      </w:pPr>
      <w:r>
        <w:t xml:space="preserve">A staple and a spitting cobra</w:t>
      </w:r>
    </w:p>
    <w:p>
      <w:r>
        <w:t xml:space="preserve">Some of the fights came down to very small details. Hoser asked the Commission to confirm </w:t>
      </w:r>
      <w:r>
        <w:rPr>
          <w:i/>
          <w:iCs/>
        </w:rPr>
        <w:t xml:space="preserve">Spracklandus</w:t>
      </w:r>
      <w:r>
        <w:t xml:space="preserve">, his 2009 name for the African spitting cobras. It had appeared just before </w:t>
      </w:r>
      <w:r>
        <w:rPr>
          <w:i/>
          <w:iCs/>
        </w:rPr>
        <w:t xml:space="preserve">Afronaja</w:t>
      </w:r>
      <w:r>
        <w:t xml:space="preserve">, the name scientists had given the same group. This was Case 3601. To count under the Code, a printed work needs many identical, durable copies. I studied photographs of the copy held by the National Library of Australia. A nearly identical printer flaw showed on both copies I could compare. The staple sat across the top of the page, a spot no printing machine puts a staple, and a different copy was stapled in a different place. To me, it did not look like a real print run.</w:t>
      </w:r>
    </w:p>
    <w:p>
      <w:pPr>
        <w:keepNext/>
        <w:spacing w:after="80" w:before="240"/>
        <w:jc w:val="center"/>
      </w:pPr>
      <w:r>
        <w:drawing>
          <wp:inline distT="0" distB="0" distL="0" distR="0">
            <wp:extent cx="4619625" cy="4572000"/>
            <wp:effectExtent t="0" r="0" b="0" l="0"/>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619625" cy="4572000"/>
                    </a:xfrm>
                    <a:prstGeom prst="rect">
                      <a:avLst/>
                    </a:prstGeom>
                  </pic:spPr>
                </pic:pic>
              </a:graphicData>
            </a:graphic>
          </wp:inline>
        </w:drawing>
      </w:r>
    </w:p>
    <w:p>
      <w:pPr>
        <w:spacing w:after="280"/>
      </w:pPr>
      <w:r>
        <w:rPr>
          <w:rFonts w:ascii="Calibri" w:cs="Calibri" w:eastAsia="Calibri" w:hAnsi="Calibri"/>
          <w:sz w:val="19"/>
          <w:szCs w:val="19"/>
        </w:rPr>
        <w:t xml:space="preserve">Two copies of the 2009 issue in which the name </w:t>
      </w:r>
      <w:r>
        <w:rPr>
          <w:rFonts w:ascii="Calibri" w:cs="Calibri" w:eastAsia="Calibri" w:hAnsi="Calibri"/>
          <w:i/>
          <w:iCs/>
          <w:sz w:val="19"/>
          <w:szCs w:val="19"/>
        </w:rPr>
        <w:t xml:space="preserve">Spracklandus</w:t>
      </w:r>
      <w:r>
        <w:rPr>
          <w:rFonts w:ascii="Calibri" w:cs="Calibri" w:eastAsia="Calibri" w:hAnsi="Calibri"/>
          <w:sz w:val="19"/>
          <w:szCs w:val="19"/>
        </w:rPr>
        <w:t xml:space="preserve"> appeared are stapled in different places.</w:t>
      </w:r>
      <w:r>
        <w:rPr>
          <w:rFonts w:ascii="Calibri" w:cs="Calibri" w:eastAsia="Calibri" w:hAnsi="Calibri"/>
          <w:color w:val="69716C"/>
          <w:sz w:val="16"/>
          <w:szCs w:val="16"/>
        </w:rPr>
        <w:t xml:space="preserve">  Photo: from Kaiser 2014, Bulletin of Zoological Nomenclature</w:t>
      </w:r>
    </w:p>
    <w:p>
      <w:r>
        <w:t xml:space="preserve">In 2015, 70 of us signed a formal comment asking the Commission to reject the whole journal. The signers included chairs of IUCN specialist groups, a former chair of the CITES Animals Committee and journal editors. In 2021 the Commission declined to decide either way. That left the question with the herpetologists.</w:t>
      </w:r>
    </w:p>
    <w:p>
      <w:pPr>
        <w:pStyle w:val="Heading1"/>
      </w:pPr>
      <w:r>
        <w:t xml:space="preserve">The shields go up</w:t>
      </w:r>
    </w:p>
    <w:p>
      <w:r>
        <w:t xml:space="preserve">By then the community had already taken matters into its own hands. Instead of spending years proving that each bad name was merely a duplicate (a synonym) of an older one, scientists doing real revisions simply gave the animals new, properly supported names. In 2021 Wolfgang Wüster, Scott Thomson, Mark O'Shea and I looked at what had happened. We called these replacements </w:t>
      </w:r>
      <w:r>
        <w:rPr>
          <w:b/>
          <w:bCs/>
        </w:rPr>
        <w:t xml:space="preserve">aspidonyms</w:t>
      </w:r>
      <w:r>
        <w:t xml:space="preserve">, from the Greek </w:t>
      </w:r>
      <w:r>
        <w:rPr>
          <w:i/>
          <w:iCs/>
        </w:rPr>
        <w:t xml:space="preserve">aspis</w:t>
      </w:r>
      <w:r>
        <w:t xml:space="preserve">, "shield": names that shield science from vandalism.</w:t>
      </w:r>
    </w:p>
    <w:p>
      <w:r>
        <w:t xml:space="preserve">We found 59 of them, coined by 153 authors from 24 countries and used 1,087 times in the literature. We found only one case where a later author preferred the overwritten name. The reticulated python, one of the world's longest snakes, had been placed in Hoser's genus "Broghammerus". In 2014 it became </w:t>
      </w:r>
      <w:r>
        <w:rPr>
          <w:i/>
          <w:iCs/>
        </w:rPr>
        <w:t xml:space="preserve">Malayopython</w:t>
      </w:r>
      <w:r>
        <w:t xml:space="preserve">. Within a year the new name was being cited more often than the old one. Alligator snapping turtles from Florida's Suwannee River, which had been given a name built on the author's own surname, became </w:t>
      </w:r>
      <w:r>
        <w:rPr>
          <w:i/>
          <w:iCs/>
        </w:rPr>
        <w:t xml:space="preserve">Macrochelys suwanniensis</w:t>
      </w:r>
      <w:r>
        <w:t xml:space="preserve">. In the most striking case, two names Hoser had coined to honour an Australian herpetologist named Melville were overwritten by Melville and colleagues.</w:t>
      </w:r>
    </w:p>
    <w:p>
      <w:pPr>
        <w:keepNext/>
        <w:spacing w:after="80" w:before="240"/>
        <w:jc w:val="center"/>
      </w:pPr>
      <w:r>
        <w:drawing>
          <wp:inline distT="0" distB="0" distL="0" distR="0">
            <wp:extent cx="5486400" cy="3543300"/>
            <wp:effectExtent t="0" r="0" b="0" l="0"/>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543300"/>
                    </a:xfrm>
                    <a:prstGeom prst="rect">
                      <a:avLst/>
                    </a:prstGeom>
                  </pic:spPr>
                </pic:pic>
              </a:graphicData>
            </a:graphic>
          </wp:inline>
        </w:drawing>
      </w:r>
    </w:p>
    <w:p>
      <w:pPr>
        <w:spacing w:after="280"/>
      </w:pPr>
      <w:r>
        <w:rPr>
          <w:rFonts w:ascii="Calibri" w:cs="Calibri" w:eastAsia="Calibri" w:hAnsi="Calibri"/>
          <w:sz w:val="19"/>
          <w:szCs w:val="19"/>
        </w:rPr>
        <w:t xml:space="preserve">A young Suwannee alligator snapping turtle lies half-buried in wet sand, jaws open.</w:t>
      </w:r>
      <w:r>
        <w:rPr>
          <w:rFonts w:ascii="Calibri" w:cs="Calibri" w:eastAsia="Calibri" w:hAnsi="Calibri"/>
          <w:color w:val="69716C"/>
          <w:sz w:val="16"/>
          <w:szCs w:val="16"/>
        </w:rPr>
        <w:t xml:space="preserve">  Photo: MH Herpetology (Madden Haag), CC BY-SA 4.0, via Wikimedia Commons</w:t>
      </w:r>
    </w:p>
    <w:p>
      <w:r>
        <w:t xml:space="preserve">Our critics had feared the veto would split herpetology into two rival naming systems. It did not. The community chose one system, the one with the evidence behind it.</w:t>
      </w:r>
    </w:p>
    <w:p>
      <w:pPr>
        <w:pStyle w:val="Heading1"/>
      </w:pPr>
      <w:r>
        <w:t xml:space="preserve">Harvesting the tree</w:t>
      </w:r>
    </w:p>
    <w:p>
      <w:r>
        <w:t xml:space="preserve">The problem kept changing shape. In 2023 Wolfgang Denzer and I described a version we called </w:t>
      </w:r>
      <w:r>
        <w:rPr>
          <w:b/>
          <w:bCs/>
        </w:rPr>
        <w:t xml:space="preserve">nomenclatural harvesting</w:t>
      </w:r>
      <w:r>
        <w:t xml:space="preserve">. Scientists publish a family tree built from DNA, and some branches are left unnamed on purpose because the evidence is not yet complete. A harvester simply names them, without ever looking at an animal. In one case, a biologist writing in 1968 had described two odd lizard specimens in the Smithsonian collections as in-betweens of two known species. In 2015 someone else named them a new species, copying the original description almost word for word. As a Research Associate of the Smithsonian I checked with the collection staff. Nobody had examined the specimens.</w:t>
      </w:r>
    </w:p>
    <w:p>
      <w:pPr>
        <w:keepNext/>
        <w:spacing w:after="80" w:before="240"/>
        <w:jc w:val="center"/>
      </w:pPr>
      <w:r>
        <w:drawing>
          <wp:inline distT="0" distB="0" distL="0" distR="0">
            <wp:extent cx="3514725" cy="4572000"/>
            <wp:effectExtent t="0" r="0" b="0" l="0"/>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514725" cy="4572000"/>
                    </a:xfrm>
                    <a:prstGeom prst="rect">
                      <a:avLst/>
                    </a:prstGeom>
                  </pic:spPr>
                </pic:pic>
              </a:graphicData>
            </a:graphic>
          </wp:inline>
        </w:drawing>
      </w:r>
    </w:p>
    <w:p>
      <w:pPr>
        <w:spacing w:after="280"/>
      </w:pPr>
      <w:r>
        <w:rPr>
          <w:rFonts w:ascii="Calibri" w:cs="Calibri" w:eastAsia="Calibri" w:hAnsi="Calibri"/>
          <w:sz w:val="19"/>
          <w:szCs w:val="19"/>
        </w:rPr>
        <w:t xml:space="preserve">A cartoon shows a grinning man plucking labelled branches off a family tree while lizards, frogs and snakes cling to him.</w:t>
      </w:r>
      <w:r>
        <w:rPr>
          <w:rFonts w:ascii="Calibri" w:cs="Calibri" w:eastAsia="Calibri" w:hAnsi="Calibri"/>
          <w:color w:val="69716C"/>
          <w:sz w:val="16"/>
          <w:szCs w:val="16"/>
        </w:rPr>
        <w:t xml:space="preserve">  Cartoon: Camilo Triana, drawn for Denzer &amp; Kaiser 2023, Journal of Zoology</w:t>
      </w:r>
    </w:p>
    <w:p>
      <w:r>
        <w:t xml:space="preserve">Our proposed fix is short. The Code already </w:t>
      </w:r>
      <w:r>
        <w:rPr>
          <w:i/>
          <w:iCs/>
        </w:rPr>
        <w:t xml:space="preserve">recommends</w:t>
      </w:r>
      <w:r>
        <w:t xml:space="preserve"> that an author designate as holotype (the single specimen that anchors a new name) a specimen "actually studied by him or her". We asked the Commission to change that "should" to a "must".</w:t>
      </w:r>
    </w:p>
    <w:p>
      <w:pPr>
        <w:pStyle w:val="Heading1"/>
      </w:pPr>
      <w:r>
        <w:t xml:space="preserve">Why I keep at it</w:t>
      </w:r>
    </w:p>
    <w:p>
      <w:r>
        <w:t xml:space="preserve">In 2025 Denzer and I had to defend the consensus again. A new catalogue of turtle genus names had listed 20 of the shunned names as if they were legitimate. By then the unscientific names in herpetology came close to 2,500. We argued that every time a respected source repeats one, it brings back the confusion the whole community had worked for a decade to clear away.</w:t>
      </w:r>
    </w:p>
    <w:p>
      <w:r>
        <w:t xml:space="preserve">Standing up for the Code does not mean freezing it. In 2018 I joined a large group of taxonomists in </w:t>
      </w:r>
      <w:r>
        <w:rPr>
          <w:i/>
          <w:iCs/>
        </w:rPr>
        <w:t xml:space="preserve">PLOS Biology</w:t>
      </w:r>
      <w:r>
        <w:t xml:space="preserve"> arguing against the opposite danger: putting taxonomy under committees that would decide which species are allowed to exist. Science has to stay free to find new species. What it cannot do is let the names of living things be treated as trophies. Somebody has to hold the line, and in herpetology it turned out a whole community was willing to.</w:t>
      </w:r>
    </w:p>
    <w:p>
      <w:pPr>
        <w:pStyle w:val="Heading1"/>
      </w:pPr>
      <w:r>
        <w:t xml:space="preserve">At a glance</w:t>
      </w:r>
    </w:p>
    <w:p>
      <w:pPr>
        <w:pStyle w:val="Small"/>
        <w:spacing w:after="40"/>
      </w:pPr>
      <w:r>
        <w:rPr>
          <w:b/>
          <w:bCs/>
        </w:rPr>
        <w:t xml:space="preserve">Where: </w:t>
      </w:r>
      <w:r>
        <w:t xml:space="preserve">Worldwide</w:t>
      </w:r>
    </w:p>
    <w:p>
      <w:pPr>
        <w:pStyle w:val="Small"/>
        <w:spacing w:after="40"/>
      </w:pPr>
      <w:r>
        <w:rPr>
          <w:b/>
          <w:bCs/>
        </w:rPr>
        <w:t xml:space="preserve">When: </w:t>
      </w:r>
      <w:r>
        <w:t xml:space="preserve">2013–2025</w:t>
      </w:r>
    </w:p>
    <w:p>
      <w:pPr>
        <w:pStyle w:val="Heading1"/>
      </w:pPr>
      <w:r>
        <w:t xml:space="preserve">The papers</w:t>
      </w:r>
    </w:p>
    <w:p>
      <w:pPr>
        <w:pStyle w:val="Small"/>
        <w:numPr>
          <w:ilvl w:val="0"/>
          <w:numId w:val="2"/>
        </w:numPr>
      </w:pPr>
      <w:r>
        <w:rPr>
          <w:b/>
          <w:bCs/>
        </w:rPr>
        <w:t xml:space="preserve">Kaiser H</w:t>
      </w:r>
      <w:r>
        <w:rPr>
          <w:b w:val="false"/>
          <w:bCs w:val="false"/>
        </w:rPr>
        <w:t xml:space="preserve">, Crother BI, Kelly CMR, Luiselli L, O’Shea M, Ota H, Passos P, Schleip WD, Wüster W</w:t>
      </w:r>
      <w:r>
        <w:t xml:space="preserve"> (2013) </w:t>
      </w:r>
      <w:r>
        <w:t xml:space="preserve">Best practices: in the 21st century, taxonomic decisions in herpetology are acceptable only when supported by a body of evidence and published via peer-review</w:t>
      </w:r>
      <w:r>
        <w:t xml:space="preserve"> </w:t>
      </w:r>
      <w:r>
        <w:rPr>
          <w:i/>
          <w:iCs/>
        </w:rPr>
        <w:t xml:space="preserve">Herpetological Review</w:t>
      </w:r>
      <w:r>
        <w:t xml:space="preserve"> 44: 8–23</w:t>
      </w:r>
    </w:p>
    <w:p>
      <w:pPr>
        <w:pStyle w:val="Small"/>
        <w:numPr>
          <w:ilvl w:val="0"/>
          <w:numId w:val="2"/>
        </w:numPr>
      </w:pPr>
      <w:r>
        <w:rPr>
          <w:b/>
          <w:bCs/>
        </w:rPr>
        <w:t xml:space="preserve">Kaiser H</w:t>
      </w:r>
      <w:r>
        <w:t xml:space="preserve"> (2013) </w:t>
      </w:r>
      <w:hyperlink w:history="1" r:id="rIdws7f2mvcrmuu0vrmtmqjy">
        <w:r>
          <w:rPr>
            <w:rStyle w:val="Hyperlink"/>
          </w:rPr>
          <w:t xml:space="preserve">The Taxon Filter, a novel mechanism designed to facilitate the relationship between taxonomy and nomenclature, vis-à-vis the utility of the Code’s Article 81 (the Commission’s plenary power)</w:t>
        </w:r>
      </w:hyperlink>
      <w:r>
        <w:t xml:space="preserve"> </w:t>
      </w:r>
      <w:r>
        <w:rPr>
          <w:i/>
          <w:iCs/>
        </w:rPr>
        <w:t xml:space="preserve">Bulletin of Zoological Nomenclature</w:t>
      </w:r>
      <w:r>
        <w:t xml:space="preserve"> 70(4): 293–302</w:t>
      </w:r>
    </w:p>
    <w:p>
      <w:pPr>
        <w:pStyle w:val="Small"/>
        <w:numPr>
          <w:ilvl w:val="0"/>
          <w:numId w:val="2"/>
        </w:numPr>
      </w:pPr>
      <w:r>
        <w:rPr>
          <w:b/>
          <w:bCs/>
        </w:rPr>
        <w:t xml:space="preserve">Kaiser H</w:t>
      </w:r>
      <w:r>
        <w:t xml:space="preserve"> (2014) </w:t>
      </w:r>
      <w:r>
        <w:t xml:space="preserve">Best practices in herpetological taxonomy: errata and addenda</w:t>
      </w:r>
      <w:r>
        <w:t xml:space="preserve"> </w:t>
      </w:r>
      <w:r>
        <w:rPr>
          <w:i/>
          <w:iCs/>
        </w:rPr>
        <w:t xml:space="preserve">Herpetological Review</w:t>
      </w:r>
      <w:r>
        <w:t xml:space="preserve"> 45(2): 257–268</w:t>
      </w:r>
    </w:p>
    <w:p>
      <w:pPr>
        <w:pStyle w:val="Small"/>
        <w:numPr>
          <w:ilvl w:val="0"/>
          <w:numId w:val="2"/>
        </w:numPr>
      </w:pPr>
      <w:r>
        <w:rPr>
          <w:b/>
          <w:bCs/>
        </w:rPr>
        <w:t xml:space="preserve">Kaiser H</w:t>
      </w:r>
      <w:r>
        <w:t xml:space="preserve"> (2014) </w:t>
      </w:r>
      <w:r>
        <w:t xml:space="preserve">Comment on </w:t>
      </w:r>
      <w:r>
        <w:rPr>
          <w:i/>
          <w:iCs/>
        </w:rPr>
        <w:t xml:space="preserve">Spracklandus</w:t>
      </w:r>
      <w:r>
        <w:t xml:space="preserve"> Hoser, 2009 (Reptilia, Serpentes, Elapidae): request for confirmation of the availability of the generic name and for the nomenclatural validation of the journal in which it was published</w:t>
      </w:r>
      <w:r>
        <w:t xml:space="preserve"> </w:t>
      </w:r>
      <w:r>
        <w:rPr>
          <w:i/>
          <w:iCs/>
        </w:rPr>
        <w:t xml:space="preserve">Bulletin of Zoological Nomenclature</w:t>
      </w:r>
      <w:r>
        <w:t xml:space="preserve"> 71(1): 30–35</w:t>
      </w:r>
    </w:p>
    <w:p>
      <w:pPr>
        <w:pStyle w:val="Small"/>
        <w:numPr>
          <w:ilvl w:val="0"/>
          <w:numId w:val="2"/>
        </w:numPr>
      </w:pPr>
      <w:r>
        <w:rPr>
          <w:b w:val="false"/>
          <w:bCs w:val="false"/>
        </w:rPr>
        <w:t xml:space="preserve">Rhodin AGJ, </w:t>
      </w:r>
      <w:r>
        <w:rPr>
          <w:b/>
          <w:bCs/>
        </w:rPr>
        <w:t xml:space="preserve">Kaiser H</w:t>
      </w:r>
      <w:r>
        <w:rPr>
          <w:b w:val="false"/>
          <w:bCs w:val="false"/>
        </w:rPr>
        <w:t xml:space="preserve">, van Dijk PP, Wüster W, O’Shea M, Archer M, Auliya M, Boitani L, Bour R, Clausnitzer V, Contreras-MacBeath T, Crother BI, Daza JM, Driscoll CA, Flores-Villela O, Frazier J, Fritz U, Gardner AL, Gascon C, Georges A, Glaw F, Grazziotin FG, Groves CP, Haszprunar G, Havaš P, Hero J-M, Hoffmann M, Hoogmoed MS, Horne BD, Iverson JB, Jäch M, Jenkins CL, Jenkins RKB, Kiester AR, Keogh JS, Lacher TR Jr, Lovich JE, Luiselli L, Mahler DL, Mallon D, Mast R, McDiarmid RW, Measey J, Mittermeier RA, Molur S, Mosbrugger V, Murphy RW, Naish D, Niekisch M, Ota H, Parham JF, Parr MJ, Pilcher NJ, Pine RH, Rylands AB, Sanderson JG, Savage JM, Schleip W, Scrocchi GJ, Shaffer HB, Smith EN, Sprackland R, Stuart SN, Vetter H, Vitt LJ, Waller T, Webb G, Wilson EO, Zaher H, Thomson S</w:t>
      </w:r>
      <w:r>
        <w:t xml:space="preserve"> (2015) </w:t>
      </w:r>
      <w:r>
        <w:t xml:space="preserve">Comment on “</w:t>
      </w:r>
      <w:r>
        <w:rPr>
          <w:i/>
          <w:iCs/>
        </w:rPr>
        <w:t xml:space="preserve">Spracklandus</w:t>
      </w:r>
      <w:r>
        <w:t xml:space="preserve"> Hoser, 2009 (Reptilia, Serpentes, Elapidae): request for confirmation of the availability of the generic name and for the nomenclatural validation of the journal in which it was published”</w:t>
      </w:r>
      <w:r>
        <w:t xml:space="preserve"> </w:t>
      </w:r>
      <w:r>
        <w:rPr>
          <w:i/>
          <w:iCs/>
        </w:rPr>
        <w:t xml:space="preserve">Bulletin of Zoological Nomenclature</w:t>
      </w:r>
      <w:r>
        <w:t xml:space="preserve"> 72(1): 65–78</w:t>
      </w:r>
    </w:p>
    <w:p>
      <w:pPr>
        <w:pStyle w:val="Small"/>
        <w:numPr>
          <w:ilvl w:val="0"/>
          <w:numId w:val="2"/>
        </w:numPr>
      </w:pPr>
      <w:r>
        <w:rPr>
          <w:b w:val="false"/>
          <w:bCs w:val="false"/>
        </w:rPr>
        <w:t xml:space="preserve">Thomson SA, Pyle RL, Ahyong S, Alonso-Zarazaga M, Ammirati J, Araya JF, Ascher JS, Audisio TL, Azevedo-Santos VM, Bailly N, Baker WJ, Balke M, Barclay MVL, Barrett RL, Benine RC, Bickerstaff JRM, Bouchard P, Bour R, Bourgoin T, Boyko CB, Breure ASH, Brothers DJ, Byng JW, Campbell D, Ceríaco LMP, Cernák I, Cerretti P, Chang C-H, Cho S, Copus JM, Costello MJ, Cseh A, Csuzdi C, Culham A, D’Elía G, d’Udekem d’Acoz C, Daneliya ME, Dekker R, Dickinson EC, Dickinson TA, van Dijk PP, Dijkstra K-DB, Dima B, Dmitriev DA, Duistermaat L, Dumbacher JP, Eiserhardt WL, Ekrem T, Evenhuis NL, Faille A, Fernández-Triana JL, Fiesler E, Fishbein M, Fordham BG, Freitas AVL, Friol NR, Fritz U, Frøslev T, Funk VA, Gaimari SD, Garbino GST, Garraffoni ARS, Geml J, Gill AC, Gray A, Grazziotin FG, Greenslade P, Gutiérrez EE, Harvey MS, Hazevoet CJ, He K, He X, Helfer S, Helgen KM, van Heteren AH, Hita Garcia F, Holstein N, Horváth MK, Hovenkamp PH, Hwang WS, Hyvönen J, Islam MB, Iverson JB, Ivie MA, Jaafar Z, Jackson MD, Jayat JP, Johnson NF, </w:t>
      </w:r>
      <w:r>
        <w:rPr>
          <w:b/>
          <w:bCs/>
        </w:rPr>
        <w:t xml:space="preserve">Kaiser H</w:t>
      </w:r>
      <w:r>
        <w:rPr>
          <w:b w:val="false"/>
          <w:bCs w:val="false"/>
        </w:rPr>
        <w:t xml:space="preserve">, Klitgård BB, Knapp DG, Kojima J, Kõljalg U, Kontschán J, Krell F-T, Krisai-Greilhuber I, Kullander S, Latella L, Lattke JE, Lencioni V, Lewis GP, Lhano MG, Lujan NK, Luksenburg JA, Mariaux J, Marinho-Filho J, Marshall CJ, Mate JF, McDonough MM, Michel E, Miranda VFO, Mitroiu M-D, Molinari J, Monks S, Moore AJ, Moratelli R, Murányi D, Nakano T, Nikolaeva S, Noyes J, Ohl M, Oleas NH, Orrell T, Páll-Gergely B, Pape T, Papp V, Parenti LR, Patterson D, Pavlinov IY, Pine RH, Poczai P, Prado J, Prathapan D, Rabeler RK, Randall JE, Rheindt FE, Rhodin AGJ, Rodríguez SM, Rogers DC, Roque FdO, Rowe KC, Ruedas LA, Salazar-Bravo J, Salvador RB, Sangster G, Sarmiento CE, Schigel DS, Schmidt S, Schueler FW, Segers H, Snow N, Souza-Dias PGB, Stals R, Stenroos S, Stone RD, Sturm CF, Štys P, Teta P, Thomas DC, Timm RM, Tindall BJ, Todd JA, Triebel D, Valdecasas AG, Vizzini A, Vorontsova MS, de Vos JM, Wagner P, Watling L, Weakley A, Welter-Schultes F, Whitmore D, Wilding N, Will K, Williams J, Wilson K, Winston JE, Wüster W, Yanega D, Yeates DK, Zaher H, Zhang G, Zhang Z-Q, Zhou H-Z</w:t>
      </w:r>
      <w:r>
        <w:t xml:space="preserve"> (2018) </w:t>
      </w:r>
      <w:hyperlink w:history="1" r:id="rIdjwfpeveg0-c8qcunnuj-h">
        <w:r>
          <w:rPr>
            <w:rStyle w:val="Hyperlink"/>
          </w:rPr>
          <w:t xml:space="preserve">Taxonomy based on science is necessary for global conservation</w:t>
        </w:r>
      </w:hyperlink>
      <w:r>
        <w:t xml:space="preserve"> </w:t>
      </w:r>
      <w:r>
        <w:rPr>
          <w:i/>
          <w:iCs/>
        </w:rPr>
        <w:t xml:space="preserve">PLoS Biology</w:t>
      </w:r>
      <w:r>
        <w:t xml:space="preserve"> 16(3): e2005075</w:t>
      </w:r>
    </w:p>
    <w:p>
      <w:pPr>
        <w:pStyle w:val="Small"/>
        <w:numPr>
          <w:ilvl w:val="0"/>
          <w:numId w:val="2"/>
        </w:numPr>
      </w:pPr>
      <w:r>
        <w:rPr>
          <w:b w:val="false"/>
          <w:bCs w:val="false"/>
        </w:rPr>
        <w:t xml:space="preserve">Wüster W, Thomson SA, O’Shea M, </w:t>
      </w:r>
      <w:r>
        <w:rPr>
          <w:b/>
          <w:bCs/>
        </w:rPr>
        <w:t xml:space="preserve">Kaiser H</w:t>
      </w:r>
      <w:r>
        <w:t xml:space="preserve"> (2021) </w:t>
      </w:r>
      <w:hyperlink w:history="1" r:id="rIdoxm4djfnjr8rvwaub4qvp">
        <w:r>
          <w:rPr>
            <w:rStyle w:val="Hyperlink"/>
          </w:rPr>
          <w:t xml:space="preserve">Confronting taxonomic vandalism in biology: conscientious community self-organization can preserve nomenclatural stability</w:t>
        </w:r>
      </w:hyperlink>
      <w:r>
        <w:t xml:space="preserve"> </w:t>
      </w:r>
      <w:r>
        <w:rPr>
          <w:i/>
          <w:iCs/>
        </w:rPr>
        <w:t xml:space="preserve">Biological Journal of the Linnean Society</w:t>
      </w:r>
      <w:r>
        <w:t xml:space="preserve"> 133: 645–670</w:t>
      </w:r>
    </w:p>
    <w:p>
      <w:pPr>
        <w:pStyle w:val="Small"/>
        <w:numPr>
          <w:ilvl w:val="0"/>
          <w:numId w:val="2"/>
        </w:numPr>
      </w:pPr>
      <w:r>
        <w:rPr>
          <w:b w:val="false"/>
          <w:bCs w:val="false"/>
        </w:rPr>
        <w:t xml:space="preserve">Denzer W, </w:t>
      </w:r>
      <w:r>
        <w:rPr>
          <w:b/>
          <w:bCs/>
        </w:rPr>
        <w:t xml:space="preserve">Kaiser H</w:t>
      </w:r>
      <w:r>
        <w:t xml:space="preserve"> (2023) </w:t>
      </w:r>
      <w:hyperlink w:history="1" r:id="rIdnwcjbzcplhjriezq0covh">
        <w:r>
          <w:rPr>
            <w:rStyle w:val="Hyperlink"/>
          </w:rPr>
          <w:t xml:space="preserve">Naming and gaming: the illicit taxonomic practice of ‘nomenclatural harvesting’ and how to avoid it</w:t>
        </w:r>
      </w:hyperlink>
      <w:r>
        <w:t xml:space="preserve"> </w:t>
      </w:r>
      <w:r>
        <w:rPr>
          <w:i/>
          <w:iCs/>
        </w:rPr>
        <w:t xml:space="preserve">Journal of Zoology</w:t>
      </w:r>
      <w:r>
        <w:t xml:space="preserve"> 320: 161–168</w:t>
      </w:r>
    </w:p>
    <w:p>
      <w:pPr>
        <w:pStyle w:val="Small"/>
        <w:numPr>
          <w:ilvl w:val="0"/>
          <w:numId w:val="2"/>
        </w:numPr>
      </w:pPr>
      <w:r>
        <w:rPr>
          <w:b w:val="false"/>
          <w:bCs w:val="false"/>
        </w:rPr>
        <w:t xml:space="preserve">Denzer W, </w:t>
      </w:r>
      <w:r>
        <w:rPr>
          <w:b/>
          <w:bCs/>
        </w:rPr>
        <w:t xml:space="preserve">Kaiser H</w:t>
      </w:r>
      <w:r>
        <w:t xml:space="preserve"> (2025) </w:t>
      </w:r>
      <w:hyperlink w:history="1" r:id="rIdc5panpztcsiyx5b8_g3te">
        <w:r>
          <w:rPr>
            <w:rStyle w:val="Hyperlink"/>
          </w:rPr>
          <w:t xml:space="preserve">Nomenclature protects stability only when supported by good science: a response to Frétey’s (2024) list of turtle genus-series nomina</w:t>
        </w:r>
      </w:hyperlink>
      <w:r>
        <w:t xml:space="preserve"> </w:t>
      </w:r>
      <w:r>
        <w:rPr>
          <w:i/>
          <w:iCs/>
        </w:rPr>
        <w:t xml:space="preserve">Bionomina</w:t>
      </w:r>
      <w:r>
        <w:t xml:space="preserve"> 41: 20–24</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Shield Names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ws7f2mvcrmuu0vrmtmqjy" Type="http://schemas.openxmlformats.org/officeDocument/2006/relationships/hyperlink" Target="https://doi.org/10.21805/bzn.v70i4.a17" TargetMode="External"/><Relationship Id="rIdjwfpeveg0-c8qcunnuj-h" Type="http://schemas.openxmlformats.org/officeDocument/2006/relationships/hyperlink" Target="https://doi.org/10.1371/journal.pbio.2005075" TargetMode="External"/><Relationship Id="rIdoxm4djfnjr8rvwaub4qvp" Type="http://schemas.openxmlformats.org/officeDocument/2006/relationships/hyperlink" Target="https://doi.org/10.1093/biolinnean/blab009" TargetMode="External"/><Relationship Id="rIdnwcjbzcplhjriezq0covh" Type="http://schemas.openxmlformats.org/officeDocument/2006/relationships/hyperlink" Target="https://doi.org/10.1111/jzo.13061" TargetMode="External"/><Relationship Id="rIdc5panpztcsiyx5b8_g3te" Type="http://schemas.openxmlformats.org/officeDocument/2006/relationships/hyperlink" Target="https://doi.org/10.11646/bionomina.41.1.2" TargetMode="External"/><Relationship Id="rId8" Type="http://schemas.openxmlformats.org/officeDocument/2006/relationships/image" Target="media/2ccba1a10308eba9958e49b492330b681585eb37.jpg"/><Relationship Id="rId9" Type="http://schemas.openxmlformats.org/officeDocument/2006/relationships/image" Target="media/312fa8f85b8eb1e2f9ec0080fa90dc85f0235fdf.jpg"/><Relationship Id="rId10" Type="http://schemas.openxmlformats.org/officeDocument/2006/relationships/image" Target="media/4e4be934865fbadbb5aab0eaec05a03c0f2bde37.jpg"/><Relationship Id="rId11" Type="http://schemas.openxmlformats.org/officeDocument/2006/relationships/image" Target="media/ce77056d584554179adb48c86adbd7f3f5fe8d38.jpg"/><Relationship Id="rId12" Type="http://schemas.openxmlformats.org/officeDocument/2006/relationships/image" Target="media/c92ca3ab98f9e0bbbfff419fdff79e2a1bf7192f.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Shield Names</dc:title>
  <dc:creator>Hinrich Kaiser</dc:creator>
  <dc:description>How herpetologists banded together to protect the names of reptiles and amphibians from people who churn out names without doing the science.</dc:description>
  <cp:lastModifiedBy>Un-named</cp:lastModifiedBy>
  <cp:revision>1</cp:revision>
  <dcterms:created xsi:type="dcterms:W3CDTF">2026-09-29T14:11:45.759Z</dcterms:created>
  <dcterms:modified xsi:type="dcterms:W3CDTF">2026-09-29T14:11:45.759Z</dcterms:modified>
</cp:coreProperties>
</file>

<file path=docProps/custom.xml><?xml version="1.0" encoding="utf-8"?>
<Properties xmlns="http://schemas.openxmlformats.org/officeDocument/2006/custom-properties" xmlns:vt="http://schemas.openxmlformats.org/officeDocument/2006/docPropsVTypes"/>
</file>