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jc w:val="center"/>
      </w:pPr>
      <w:r>
        <w:drawing>
          <wp:inline distT="0" distB="0" distL="0" distR="0">
            <wp:extent cx="5486400" cy="3609975"/>
            <wp:effectExtent t="0" r="0" b="0" l="0"/>
            <wp:docPr id="7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486400" cy="3609975"/>
                    </a:xfrm>
                    <a:prstGeom prst="rect">
                      <a:avLst/>
                    </a:prstGeom>
                  </pic:spPr>
                </pic:pic>
              </a:graphicData>
            </a:graphic>
          </wp:inline>
        </w:drawing>
      </w:r>
    </w:p>
    <w:p>
      <w:pPr>
        <w:spacing w:after="240"/>
        <w:jc w:val="right"/>
      </w:pPr>
      <w:r>
        <w:rPr>
          <w:rFonts w:ascii="Calibri" w:cs="Calibri" w:eastAsia="Calibri" w:hAnsi="Calibri"/>
          <w:color w:val="69716C"/>
          <w:sz w:val="16"/>
          <w:szCs w:val="16"/>
        </w:rPr>
        <w:t xml:space="preserve">Photo: Jake Scott, from Rösler et al. 2025, Bulletin of Zoological Nomenclature</w:t>
      </w:r>
    </w:p>
    <w:p>
      <w:pPr>
        <w:pStyle w:val="Title"/>
      </w:pPr>
      <w:r>
        <w:t xml:space="preserve">The Timor Gecko From South America</w:t>
      </w:r>
    </w:p>
    <w:p>
      <w:r>
        <w:t xml:space="preserve">Some species are hard to find because they are rare. Others are hard to find because they were never there in the first place.</w:t>
      </w:r>
    </w:p>
    <w:p>
      <w:r>
        <w:t xml:space="preserve">For almost two centuries the reptile lists of Timor included a gecko called </w:t>
      </w:r>
      <w:r>
        <w:rPr>
          <w:i/>
          <w:iCs/>
        </w:rPr>
        <w:t xml:space="preserve">timoriensis</w:t>
      </w:r>
      <w:r>
        <w:t xml:space="preserve">. It had been described in 1836 by two of the most famous herpetologists of all time, André Marie Constant Duméril and Gabriel Bibron, in their great work </w:t>
      </w:r>
      <w:r>
        <w:rPr>
          <w:i/>
          <w:iCs/>
        </w:rPr>
        <w:t xml:space="preserve">Erpétologie Générale</w:t>
      </w:r>
      <w:r>
        <w:t xml:space="preserve">. Their description was careful and detailed. It was based on a single specimen in the Paris museum, and it had a respectable collector: the French botanist Charles Gaudichaud-Beaupré.</w:t>
      </w:r>
    </w:p>
    <w:p>
      <w:r>
        <w:t xml:space="preserve">In years of surveys across Timor-Leste, my colleagues and I never saw anything like it. We found a whole set of new bent-toed geckos, but no </w:t>
      </w:r>
      <w:r>
        <w:rPr>
          <w:i/>
          <w:iCs/>
        </w:rPr>
        <w:t xml:space="preserve">timoriensis</w:t>
      </w:r>
      <w:r>
        <w:t xml:space="preserve">. Nobody else had found one either.</w:t>
      </w:r>
    </w:p>
    <w:p>
      <w:pPr>
        <w:pStyle w:val="Heading1"/>
      </w:pPr>
      <w:r>
        <w:t xml:space="preserve">Something did not fit</w:t>
      </w:r>
    </w:p>
    <w:p>
      <w:r>
        <w:t xml:space="preserve">Scarcity alone proves little. Small geckos can live in tiny areas, and surveys miss things. But my co-authors and I had, between us, decades of experience with Southeast Asian geckos, and the features described in 1836 simply did not match any of them. So Herbert Rösler, Lee Grismer, Ivan Ineich of the Paris museum and I decided to look at the specimen itself.</w:t>
      </w:r>
    </w:p>
    <w:p>
      <w:r>
        <w:t xml:space="preserve">The gecko, catalogue number MNHN 0810, travelled on loan from Paris to the United States and to Germany. As we wrote in our paper, it "completed a voyage not unlike those of Charles Gaudichaud-Beaupré." We measured it, counted its scales and photographed its head, hands and feet in detail.</w:t>
      </w:r>
    </w:p>
    <w:p>
      <w:pPr>
        <w:keepNext/>
        <w:spacing w:after="80" w:before="240"/>
        <w:jc w:val="center"/>
      </w:pPr>
      <w:r>
        <w:drawing>
          <wp:inline distT="0" distB="0" distL="0" distR="0">
            <wp:extent cx="5486400" cy="1714500"/>
            <wp:effectExtent t="0" r="0" b="0" l="0"/>
            <wp:docPr id="8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486400" cy="1714500"/>
                    </a:xfrm>
                    <a:prstGeom prst="rect">
                      <a:avLst/>
                    </a:prstGeom>
                  </pic:spPr>
                </pic:pic>
              </a:graphicData>
            </a:graphic>
          </wp:inline>
        </w:drawing>
      </w:r>
    </w:p>
    <w:p>
      <w:pPr>
        <w:spacing w:after="280"/>
      </w:pPr>
      <w:r>
        <w:rPr>
          <w:rFonts w:ascii="Calibri" w:cs="Calibri" w:eastAsia="Calibri" w:hAnsi="Calibri"/>
          <w:sz w:val="19"/>
          <w:szCs w:val="19"/>
        </w:rPr>
        <w:t xml:space="preserve">This is the head of the 1836 "Timor" gecko, seen from both sides. After nearly two centuries in alcohol, its colours have faded.</w:t>
      </w:r>
      <w:r>
        <w:rPr>
          <w:rFonts w:ascii="Calibri" w:cs="Calibri" w:eastAsia="Calibri" w:hAnsi="Calibri"/>
          <w:color w:val="69716C"/>
          <w:sz w:val="16"/>
          <w:szCs w:val="16"/>
        </w:rPr>
        <w:t xml:space="preserve">  Photos: Lee Grismer; figure by Mark O'Shea, from Rösler et al. 2019, Zootaxa</w:t>
      </w:r>
    </w:p>
    <w:p>
      <w:r>
        <w:t xml:space="preserve">It had no bumps along its back, the scales around its mouth did not match, and its toes were long and slender. It could not belong to </w:t>
      </w:r>
      <w:r>
        <w:rPr>
          <w:i/>
          <w:iCs/>
        </w:rPr>
        <w:t xml:space="preserve">Cnemaspis</w:t>
      </w:r>
      <w:r>
        <w:t xml:space="preserve">, the Asian genus in which it had been placed since 1965. Step by step we ruled out every gecko genus from every place Gaudichaud had visited: Australia, Brazil, South Africa, Guam, Hawaii, Mauritius, Réunion, Timor and the islands near New Guinea. Only three candidates were left, all of them from South America. The best fit was </w:t>
      </w:r>
      <w:r>
        <w:rPr>
          <w:i/>
          <w:iCs/>
        </w:rPr>
        <w:t xml:space="preserve">Gonatodes</w:t>
      </w:r>
      <w:r>
        <w:t xml:space="preserve">, a group of small, day-active geckos found from the Caribbean to South America.</w:t>
      </w:r>
    </w:p>
    <w:p>
      <w:r>
        <w:t xml:space="preserve">Then we narrowed it down to the species. Scale for scale and stripe for stripe, the Paris specimen matched </w:t>
      </w:r>
      <w:r>
        <w:rPr>
          <w:i/>
          <w:iCs/>
        </w:rPr>
        <w:t xml:space="preserve">Gonatodes humeralis</w:t>
      </w:r>
      <w:r>
        <w:t xml:space="preserve">, one of the most widespread geckos in tropical South America. The "Timor gecko" was a South American gecko with the wrong label.</w:t>
      </w:r>
    </w:p>
    <w:p>
      <w:pPr>
        <w:pStyle w:val="Heading1"/>
      </w:pPr>
      <w:r>
        <w:t xml:space="preserve">A shipwreck and a mix-up</w:t>
      </w:r>
    </w:p>
    <w:p>
      <w:r>
        <w:t xml:space="preserve">How does a South American gecko end up labelled "Timor"? The answer, we think, lies in a shipwreck.</w:t>
      </w:r>
    </w:p>
    <w:p>
      <w:r>
        <w:t xml:space="preserve">Gaudichaud sailed around the world from 1817 to 1820 aboard the French ship </w:t>
      </w:r>
      <w:r>
        <w:rPr>
          <w:i/>
          <w:iCs/>
        </w:rPr>
        <w:t xml:space="preserve">L'Uranie</w:t>
      </w:r>
      <w:r>
        <w:t xml:space="preserve">, under the command of Louis de Freycinet. The voyage stopped in Rio de Janeiro on the way out, and later in Kupang on Timor and at Dili. Rio was a busy port, with a lively trade in natural history specimens from all over South America.</w:t>
      </w:r>
    </w:p>
    <w:p>
      <w:pPr>
        <w:keepNext/>
        <w:spacing w:after="80" w:before="240"/>
        <w:jc w:val="center"/>
      </w:pPr>
      <w:r>
        <w:drawing>
          <wp:inline distT="0" distB="0" distL="0" distR="0">
            <wp:extent cx="3752850" cy="4572000"/>
            <wp:effectExtent t="0" r="0" b="0" l="0"/>
            <wp:docPr id="8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3752850" cy="4572000"/>
                    </a:xfrm>
                    <a:prstGeom prst="rect">
                      <a:avLst/>
                    </a:prstGeom>
                  </pic:spPr>
                </pic:pic>
              </a:graphicData>
            </a:graphic>
          </wp:inline>
        </w:drawing>
      </w:r>
    </w:p>
    <w:p>
      <w:pPr>
        <w:spacing w:after="280"/>
      </w:pPr>
      <w:r>
        <w:rPr>
          <w:rFonts w:ascii="Calibri" w:cs="Calibri" w:eastAsia="Calibri" w:hAnsi="Calibri"/>
          <w:i/>
          <w:iCs/>
          <w:sz w:val="19"/>
          <w:szCs w:val="19"/>
        </w:rPr>
        <w:t xml:space="preserve">L'Uranie</w:t>
      </w:r>
      <w:r>
        <w:rPr>
          <w:rFonts w:ascii="Calibri" w:cs="Calibri" w:eastAsia="Calibri" w:hAnsi="Calibri"/>
          <w:sz w:val="19"/>
          <w:szCs w:val="19"/>
        </w:rPr>
        <w:t xml:space="preserve"> lies at anchor in the Raja Ampat Islands in late 1818, in an engraving based on sketches by members of the crew.</w:t>
      </w:r>
      <w:r>
        <w:rPr>
          <w:rFonts w:ascii="Calibri" w:cs="Calibri" w:eastAsia="Calibri" w:hAnsi="Calibri"/>
          <w:color w:val="69716C"/>
          <w:sz w:val="16"/>
          <w:szCs w:val="16"/>
        </w:rPr>
        <w:t xml:space="preserve">  Engraving: Claude Niquet after Ambroise Louis Garneray and Alphonse Pellion, from Rösler et al. 2019, Zootaxa</w:t>
      </w:r>
    </w:p>
    <w:p>
      <w:r>
        <w:t xml:space="preserve">On 13 February 1820, on the way home, </w:t>
      </w:r>
      <w:r>
        <w:rPr>
          <w:i/>
          <w:iCs/>
        </w:rPr>
        <w:t xml:space="preserve">L'Uranie</w:t>
      </w:r>
      <w:r>
        <w:t xml:space="preserve"> ran aground in the Falkland Islands. The crew hauled whatever they could save onto a nearby beach. Thousands of plant specimens were lost, although the animals collected in Rio seem to have survived. After a month marooned, the crew and their cargo were carried by another ship, the </w:t>
      </w:r>
      <w:r>
        <w:rPr>
          <w:i/>
          <w:iCs/>
        </w:rPr>
        <w:t xml:space="preserve">Mercury</w:t>
      </w:r>
      <w:r>
        <w:t xml:space="preserve">, to Montevideo, where Freycinet bought it and renamed it </w:t>
      </w:r>
      <w:r>
        <w:rPr>
          <w:i/>
          <w:iCs/>
        </w:rPr>
        <w:t xml:space="preserve">La Physicienne</w:t>
      </w:r>
      <w:r>
        <w:t xml:space="preserve">.</w:t>
      </w:r>
    </w:p>
    <w:p>
      <w:r>
        <w:t xml:space="preserve">We believe the gecko was obtained in Rio de Janeiro at the start of the voyage and, in the desperate rush to save the cargo, ended up packed with the material from Asia. When it reached Paris it was catalogued with the Asian collections, under "Timor". The 1864 museum catalogue still shows it that way.</w:t>
      </w:r>
    </w:p>
    <w:p>
      <w:pPr>
        <w:keepNext/>
        <w:spacing w:after="80" w:before="240"/>
        <w:jc w:val="center"/>
      </w:pPr>
      <w:r>
        <w:drawing>
          <wp:inline distT="0" distB="0" distL="0" distR="0">
            <wp:extent cx="5486400" cy="1381125"/>
            <wp:effectExtent t="0" r="0" b="0" l="0"/>
            <wp:docPr id="8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486400" cy="1381125"/>
                    </a:xfrm>
                    <a:prstGeom prst="rect">
                      <a:avLst/>
                    </a:prstGeom>
                  </pic:spPr>
                </pic:pic>
              </a:graphicData>
            </a:graphic>
          </wp:inline>
        </w:drawing>
      </w:r>
    </w:p>
    <w:p>
      <w:pPr>
        <w:spacing w:after="280"/>
      </w:pPr>
      <w:r>
        <w:rPr>
          <w:rFonts w:ascii="Calibri" w:cs="Calibri" w:eastAsia="Calibri" w:hAnsi="Calibri"/>
          <w:sz w:val="19"/>
          <w:szCs w:val="19"/>
        </w:rPr>
        <w:t xml:space="preserve">The entry for the gecko in the Paris museum's 1864 catalogue lists Timor as its home and Gaudichaud as its collector.</w:t>
      </w:r>
      <w:r>
        <w:rPr>
          <w:rFonts w:ascii="Calibri" w:cs="Calibri" w:eastAsia="Calibri" w:hAnsi="Calibri"/>
          <w:color w:val="69716C"/>
          <w:sz w:val="16"/>
          <w:szCs w:val="16"/>
        </w:rPr>
        <w:t xml:space="preserve">  Photo: Ivan Ineich, from Rösler et al. 2019, Zootaxa</w:t>
      </w:r>
    </w:p>
    <w:p>
      <w:pPr>
        <w:keepNext/>
        <w:spacing w:after="80" w:before="240"/>
        <w:jc w:val="center"/>
      </w:pPr>
      <w:r>
        <w:drawing>
          <wp:inline distT="0" distB="0" distL="0" distR="0">
            <wp:extent cx="5486400" cy="3324225"/>
            <wp:effectExtent t="0" r="0" b="0" l="0"/>
            <wp:docPr id="8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486400" cy="3324225"/>
                    </a:xfrm>
                    <a:prstGeom prst="rect">
                      <a:avLst/>
                    </a:prstGeom>
                  </pic:spPr>
                </pic:pic>
              </a:graphicData>
            </a:graphic>
          </wp:inline>
        </w:drawing>
      </w:r>
    </w:p>
    <w:p>
      <w:pPr>
        <w:spacing w:after="280"/>
      </w:pPr>
      <w:r>
        <w:rPr>
          <w:rFonts w:ascii="Calibri" w:cs="Calibri" w:eastAsia="Calibri" w:hAnsi="Calibri"/>
          <w:sz w:val="19"/>
          <w:szCs w:val="19"/>
        </w:rPr>
        <w:t xml:space="preserve">This map traces the route of Gaudichaud's voyage aboard </w:t>
      </w:r>
      <w:r>
        <w:rPr>
          <w:rFonts w:ascii="Calibri" w:cs="Calibri" w:eastAsia="Calibri" w:hAnsi="Calibri"/>
          <w:i/>
          <w:iCs/>
          <w:sz w:val="19"/>
          <w:szCs w:val="19"/>
        </w:rPr>
        <w:t xml:space="preserve">L'Uranie</w:t>
      </w:r>
      <w:r>
        <w:rPr>
          <w:rFonts w:ascii="Calibri" w:cs="Calibri" w:eastAsia="Calibri" w:hAnsi="Calibri"/>
          <w:sz w:val="19"/>
          <w:szCs w:val="19"/>
        </w:rPr>
        <w:t xml:space="preserve"> and </w:t>
      </w:r>
      <w:r>
        <w:rPr>
          <w:rFonts w:ascii="Calibri" w:cs="Calibri" w:eastAsia="Calibri" w:hAnsi="Calibri"/>
          <w:i/>
          <w:iCs/>
          <w:sz w:val="19"/>
          <w:szCs w:val="19"/>
        </w:rPr>
        <w:t xml:space="preserve">La Physicienne</w:t>
      </w:r>
      <w:r>
        <w:rPr>
          <w:rFonts w:ascii="Calibri" w:cs="Calibri" w:eastAsia="Calibri" w:hAnsi="Calibri"/>
          <w:sz w:val="19"/>
          <w:szCs w:val="19"/>
        </w:rPr>
        <w:t xml:space="preserve">, 1817–1820.</w:t>
      </w:r>
      <w:r>
        <w:rPr>
          <w:rFonts w:ascii="Calibri" w:cs="Calibri" w:eastAsia="Calibri" w:hAnsi="Calibri"/>
          <w:color w:val="69716C"/>
          <w:sz w:val="16"/>
          <w:szCs w:val="16"/>
        </w:rPr>
        <w:t xml:space="preserve">  Map: Mark O'Shea, with information compiled by Hinrich Kaiser, from Rösler et al. 2019, Zootaxa</w:t>
      </w:r>
    </w:p>
    <w:p>
      <w:pPr>
        <w:pStyle w:val="Heading1"/>
      </w:pPr>
      <w:r>
        <w:t xml:space="preserve">A problem with the rules</w:t>
      </w:r>
    </w:p>
    <w:p>
      <w:r>
        <w:t xml:space="preserve">Solving the mystery created a new problem. In zoology, the oldest available name for a species usually wins. The name </w:t>
      </w:r>
      <w:r>
        <w:rPr>
          <w:i/>
          <w:iCs/>
        </w:rPr>
        <w:t xml:space="preserve">timoriensis</w:t>
      </w:r>
      <w:r>
        <w:t xml:space="preserve"> was published in 1836; </w:t>
      </w:r>
      <w:r>
        <w:rPr>
          <w:i/>
          <w:iCs/>
        </w:rPr>
        <w:t xml:space="preserve">humeralis</w:t>
      </w:r>
      <w:r>
        <w:t xml:space="preserve"> came nineteen years later, in 1855. Strictly applied, the rules would force every scientist, field guide and government list in South America to rename one of the continent's best-known geckos after an island on the other side of the world.</w:t>
      </w:r>
    </w:p>
    <w:p>
      <w:r>
        <w:t xml:space="preserve">We thought that sticking rigidly to the naming rules, or nomenclature, would only cause confusion, and said so:</w:t>
      </w:r>
    </w:p>
    <w:p>
      <w:pPr>
        <w:pStyle w:val="PullQuote"/>
      </w:pPr>
      <w:r>
        <w:t xml:space="preserve">"Nomenclature must serve science, and it must do so broadly, and, as such, utility (for conservation or species management) should trump nomenclatural purity." — Rösler et al. 2019</w:t>
      </w:r>
    </w:p>
    <w:p>
      <w:r>
        <w:t xml:space="preserve">The rules do allow an escape, but only through a formal application to the International Commission on Zoological Nomenclature, the body that rules on names. In December 2025 Herbert Rösler, Ivan Ineich, Teresa Avila-Pires, Marinus Hoogmoed and I published that application. We showed that </w:t>
      </w:r>
      <w:r>
        <w:rPr>
          <w:i/>
          <w:iCs/>
        </w:rPr>
        <w:t xml:space="preserve">humeralis</w:t>
      </w:r>
      <w:r>
        <w:t xml:space="preserve"> had been used in well over 400 publications in seven languages, and in government documents of ten South American countries. A Google Scholar search found 728 results for "Gonatodes humeralis" and just nine for "Cnemaspis timoriensis". We asked the Commission to suppress </w:t>
      </w:r>
      <w:r>
        <w:rPr>
          <w:i/>
          <w:iCs/>
        </w:rPr>
        <w:t xml:space="preserve">timoriensis</w:t>
      </w:r>
      <w:r>
        <w:t xml:space="preserve"> for good. While the case is under consideration, </w:t>
      </w:r>
      <w:r>
        <w:rPr>
          <w:i/>
          <w:iCs/>
        </w:rPr>
        <w:t xml:space="preserve">humeralis</w:t>
      </w:r>
      <w:r>
        <w:t xml:space="preserve"> stays in use.</w:t>
      </w:r>
    </w:p>
    <w:p>
      <w:pPr>
        <w:spacing w:after="0"/>
      </w:pPr>
    </w:p>
    <w:tbl>
      <w:tblPr>
        <w:tblW w:type="pct" w:w="5000"/>
        <w:tblBorders>
          <w:top w:val="single" w:color="D9CFBC" w:sz="6"/>
          <w:left w:val="single" w:color="D9CFBC" w:sz="6"/>
          <w:bottom w:val="single" w:color="D9CFBC" w:sz="6"/>
          <w:right w:val="single" w:color="D9CFBC" w:sz="6"/>
          <w:insideH w:val="single" w:color="D9CFBC" w:sz="6"/>
          <w:insideV w:val="single" w:color="D9CFBC" w:sz="6"/>
        </w:tblBorders>
      </w:tblPr>
      <w:tblGrid>
        <w:gridCol w:w="9640"/>
      </w:tblGrid>
      <w:tr>
        <w:tc>
          <w:tcPr>
            <w:shd w:fill="F4EFE4" w:color="auto" w:val="clear"/>
            <w:tcMar>
              <w:top w:type="dxa" w:w="200"/>
              <w:left w:type="dxa" w:w="240"/>
              <w:bottom w:type="dxa" w:w="120"/>
              <w:right w:type="dxa" w:w="240"/>
            </w:tcMar>
          </w:tcPr>
          <w:p>
            <w:pPr>
              <w:pStyle w:val="FactTitle"/>
            </w:pPr>
            <w:r>
              <w:t xml:space="preserve">A second impostor</w:t>
            </w:r>
          </w:p>
          <w:p>
            <w:pPr>
              <w:pStyle w:val="FactText"/>
            </w:pPr>
            <w:r>
              <w:t xml:space="preserve">A gecko in the Berlin museum was also labelled </w:t>
            </w:r>
            <w:r>
              <w:rPr>
                <w:i/>
                <w:iCs/>
              </w:rPr>
              <w:t xml:space="preserve">timoriensis</w:t>
            </w:r>
            <w:r>
              <w:t xml:space="preserve"> and had even been treated as part of the original series. We showed it is not: it belongs to another South American species, </w:t>
            </w:r>
            <w:r>
              <w:rPr>
                <w:i/>
                <w:iCs/>
              </w:rPr>
              <w:t xml:space="preserve">Gonatodes annularis</w:t>
            </w:r>
            <w:r>
              <w:t xml:space="preserve">.</w:t>
            </w:r>
          </w:p>
        </w:tc>
      </w:tr>
    </w:tbl>
    <w:p>
      <w:pPr>
        <w:spacing w:after="120"/>
      </w:pPr>
    </w:p>
    <w:p>
      <w:pPr>
        <w:pStyle w:val="Heading1"/>
      </w:pPr>
      <w:r>
        <w:t xml:space="preserve">Not the only one</w:t>
      </w:r>
    </w:p>
    <w:p>
      <w:r>
        <w:t xml:space="preserve">This was not the first South American gecko I have met on an Asian shelf. In the Zoological State Collection in Munich, Herbert Rösler, Frank Glaw and I examined an old gecko catalogued as </w:t>
      </w:r>
      <w:r>
        <w:rPr>
          <w:i/>
          <w:iCs/>
        </w:rPr>
        <w:t xml:space="preserve">Gymnodactylus marmoratus</w:t>
      </w:r>
      <w:r>
        <w:t xml:space="preserve"> from Java. It was actually </w:t>
      </w:r>
      <w:r>
        <w:rPr>
          <w:i/>
          <w:iCs/>
        </w:rPr>
        <w:t xml:space="preserve">Gymnodactylus geckoides</w:t>
      </w:r>
      <w:r>
        <w:t xml:space="preserve">, a gecko from Brazil. For a while we thought it might be a lost specimen of the Bavarian explorer Johann Baptist von Spix, who described the species in 1825. The trail led through the private collection of a duke, but in the end we could not prove where it came from.</w:t>
      </w:r>
    </w:p>
    <w:p>
      <w:pPr>
        <w:keepNext/>
        <w:spacing w:after="80" w:before="240"/>
        <w:jc w:val="center"/>
      </w:pPr>
      <w:r>
        <w:drawing>
          <wp:inline distT="0" distB="0" distL="0" distR="0">
            <wp:extent cx="5486400" cy="1905000"/>
            <wp:effectExtent t="0" r="0" b="0" l="0"/>
            <wp:docPr id="8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486400" cy="1905000"/>
                    </a:xfrm>
                    <a:prstGeom prst="rect">
                      <a:avLst/>
                    </a:prstGeom>
                  </pic:spPr>
                </pic:pic>
              </a:graphicData>
            </a:graphic>
          </wp:inline>
        </w:drawing>
      </w:r>
    </w:p>
    <w:p>
      <w:pPr>
        <w:spacing w:after="280"/>
      </w:pPr>
      <w:r>
        <w:rPr>
          <w:rFonts w:ascii="Calibri" w:cs="Calibri" w:eastAsia="Calibri" w:hAnsi="Calibri"/>
          <w:sz w:val="19"/>
          <w:szCs w:val="19"/>
        </w:rPr>
        <w:t xml:space="preserve">Spix's original 1825 illustration shows </w:t>
      </w:r>
      <w:r>
        <w:rPr>
          <w:rFonts w:ascii="Calibri" w:cs="Calibri" w:eastAsia="Calibri" w:hAnsi="Calibri"/>
          <w:i/>
          <w:iCs/>
          <w:sz w:val="19"/>
          <w:szCs w:val="19"/>
        </w:rPr>
        <w:t xml:space="preserve">Gymnodactylus geckoides</w:t>
      </w:r>
      <w:r>
        <w:rPr>
          <w:rFonts w:ascii="Calibri" w:cs="Calibri" w:eastAsia="Calibri" w:hAnsi="Calibri"/>
          <w:sz w:val="19"/>
          <w:szCs w:val="19"/>
        </w:rPr>
        <w:t xml:space="preserve">, the Brazilian species that turned up in Munich labelled as a gecko from Java.</w:t>
      </w:r>
      <w:r>
        <w:rPr>
          <w:rFonts w:ascii="Calibri" w:cs="Calibri" w:eastAsia="Calibri" w:hAnsi="Calibri"/>
          <w:color w:val="69716C"/>
          <w:sz w:val="16"/>
          <w:szCs w:val="16"/>
        </w:rPr>
        <w:t xml:space="preserve">  Illustration: J. B. von Spix, 1825, from Rösler et al. 2017, Herpetology Notes</w:t>
      </w:r>
    </w:p>
    <w:p>
      <w:r>
        <w:t xml:space="preserve">Stories like these are a reminder that a museum label is a historical document, written by people working fast, far from home, sometimes in a crisis. Most labels are right. The ones that are wrong can spread errors for centuries, into maps, checklists and conservation plans. Our Timor gecko, it turns out, was never missing from Timor. It was living all along in South America, as </w:t>
      </w:r>
      <w:r>
        <w:rPr>
          <w:i/>
          <w:iCs/>
        </w:rPr>
        <w:t xml:space="preserve">Gonatodes humeralis</w:t>
      </w:r>
      <w:r>
        <w:t xml:space="preserve">, one of the most beautiful geckos on that continent.</w:t>
      </w:r>
    </w:p>
    <w:p>
      <w:pPr>
        <w:pStyle w:val="Heading1"/>
      </w:pPr>
      <w:r>
        <w:t xml:space="preserve">At a glance</w:t>
      </w:r>
    </w:p>
    <w:p>
      <w:pPr>
        <w:pStyle w:val="Small"/>
        <w:spacing w:after="40"/>
      </w:pPr>
      <w:r>
        <w:rPr>
          <w:b/>
          <w:bCs/>
        </w:rPr>
        <w:t xml:space="preserve">Where: </w:t>
      </w:r>
      <w:r>
        <w:t xml:space="preserve">Paris, Timor and South America</w:t>
      </w:r>
    </w:p>
    <w:p>
      <w:pPr>
        <w:pStyle w:val="Small"/>
        <w:spacing w:after="40"/>
      </w:pPr>
      <w:r>
        <w:rPr>
          <w:b/>
          <w:bCs/>
        </w:rPr>
        <w:t xml:space="preserve">When: </w:t>
      </w:r>
      <w:r>
        <w:t xml:space="preserve">2017–2025</w:t>
      </w:r>
    </w:p>
    <w:p>
      <w:pPr>
        <w:pStyle w:val="Heading1"/>
      </w:pPr>
      <w:r>
        <w:t xml:space="preserve">The papers</w:t>
      </w:r>
    </w:p>
    <w:p>
      <w:pPr>
        <w:pStyle w:val="Small"/>
        <w:numPr>
          <w:ilvl w:val="0"/>
          <w:numId w:val="2"/>
        </w:numPr>
      </w:pPr>
      <w:r>
        <w:rPr>
          <w:b w:val="false"/>
          <w:bCs w:val="false"/>
        </w:rPr>
        <w:t xml:space="preserve">Rösler H, Glaw F, </w:t>
      </w:r>
      <w:r>
        <w:rPr>
          <w:b/>
          <w:bCs/>
        </w:rPr>
        <w:t xml:space="preserve">Kaiser H</w:t>
      </w:r>
      <w:r>
        <w:t xml:space="preserve"> (2017) </w:t>
      </w:r>
      <w:r>
        <w:t xml:space="preserve">Identity and history of an odd, old gecko (</w:t>
      </w:r>
      <w:r>
        <w:rPr>
          <w:i/>
          <w:iCs/>
        </w:rPr>
        <w:t xml:space="preserve">Gymnodactylus geckoides</w:t>
      </w:r>
      <w:r>
        <w:t xml:space="preserve"> Spix, 1825, Phyllodactylidae) from the Zoologische Staatssammlung München, Germany</w:t>
      </w:r>
      <w:r>
        <w:t xml:space="preserve"> </w:t>
      </w:r>
      <w:r>
        <w:rPr>
          <w:i/>
          <w:iCs/>
        </w:rPr>
        <w:t xml:space="preserve">Herpetology Notes</w:t>
      </w:r>
      <w:r>
        <w:t xml:space="preserve"> 10: 89–99</w:t>
      </w:r>
    </w:p>
    <w:p>
      <w:pPr>
        <w:pStyle w:val="Small"/>
        <w:numPr>
          <w:ilvl w:val="0"/>
          <w:numId w:val="2"/>
        </w:numPr>
      </w:pPr>
      <w:r>
        <w:rPr>
          <w:b w:val="false"/>
          <w:bCs w:val="false"/>
        </w:rPr>
        <w:t xml:space="preserve">Rösler H, Grismer LL, Ineich I, </w:t>
      </w:r>
      <w:r>
        <w:rPr>
          <w:b/>
          <w:bCs/>
        </w:rPr>
        <w:t xml:space="preserve">Kaiser H</w:t>
      </w:r>
      <w:r>
        <w:t xml:space="preserve"> (2019) </w:t>
      </w:r>
      <w:hyperlink w:history="1" r:id="rIdk2isblipsdsl1299zbiii">
        <w:r>
          <w:rPr>
            <w:rStyle w:val="Hyperlink"/>
          </w:rPr>
          <w:t xml:space="preserve">The purportedly Indo-Australian gecko species </w:t>
        </w:r>
        <w:r>
          <w:rPr>
            <w:rStyle w:val="Hyperlink"/>
            <w:i/>
            <w:iCs/>
          </w:rPr>
          <w:t xml:space="preserve">Cnemaspis timoriensis</w:t>
        </w:r>
        <w:r>
          <w:rPr>
            <w:rStyle w:val="Hyperlink"/>
          </w:rPr>
          <w:t xml:space="preserve"> (Duméril &amp; Bibron, 1836) is actually the first named species of the neotropical genus </w:t>
        </w:r>
        <w:r>
          <w:rPr>
            <w:rStyle w:val="Hyperlink"/>
            <w:i/>
            <w:iCs/>
          </w:rPr>
          <w:t xml:space="preserve">Gonatodes</w:t>
        </w:r>
        <w:r>
          <w:rPr>
            <w:rStyle w:val="Hyperlink"/>
          </w:rPr>
          <w:t xml:space="preserve"> Fitzinger, 1843 (Squamata: Gekkonidae)</w:t>
        </w:r>
      </w:hyperlink>
      <w:r>
        <w:t xml:space="preserve"> </w:t>
      </w:r>
      <w:r>
        <w:rPr>
          <w:i/>
          <w:iCs/>
        </w:rPr>
        <w:t xml:space="preserve">Zootaxa</w:t>
      </w:r>
      <w:r>
        <w:t xml:space="preserve"> 4576(3): 483–509</w:t>
      </w:r>
    </w:p>
    <w:p>
      <w:pPr>
        <w:pStyle w:val="Small"/>
        <w:numPr>
          <w:ilvl w:val="0"/>
          <w:numId w:val="2"/>
        </w:numPr>
      </w:pPr>
      <w:r>
        <w:rPr>
          <w:b w:val="false"/>
          <w:bCs w:val="false"/>
        </w:rPr>
        <w:t xml:space="preserve">Rösler H, Ineich I, Ávila-Pires TCS, Hoogmoed MS, </w:t>
      </w:r>
      <w:r>
        <w:rPr>
          <w:b/>
          <w:bCs/>
        </w:rPr>
        <w:t xml:space="preserve">Kaiser H</w:t>
      </w:r>
      <w:r>
        <w:t xml:space="preserve"> (2025) </w:t>
      </w:r>
      <w:hyperlink w:history="1" r:id="rId3nag0iillk0sleomtq7ah">
        <w:r>
          <w:rPr>
            <w:rStyle w:val="Hyperlink"/>
          </w:rPr>
          <w:t xml:space="preserve">Case 3798 – </w:t>
        </w:r>
        <w:r>
          <w:rPr>
            <w:rStyle w:val="Hyperlink"/>
            <w:i/>
            <w:iCs/>
          </w:rPr>
          <w:t xml:space="preserve">Gymnodactylus humeralis</w:t>
        </w:r>
        <w:r>
          <w:rPr>
            <w:rStyle w:val="Hyperlink"/>
          </w:rPr>
          <w:t xml:space="preserve"> Guichenot, 1855 (currently </w:t>
        </w:r>
        <w:r>
          <w:rPr>
            <w:rStyle w:val="Hyperlink"/>
            <w:i/>
            <w:iCs/>
          </w:rPr>
          <w:t xml:space="preserve">Gonatodes humeralis</w:t>
        </w:r>
        <w:r>
          <w:rPr>
            <w:rStyle w:val="Hyperlink"/>
          </w:rPr>
          <w:t xml:space="preserve">; Reptilia, Sphaerodactylidae): proposed conservation of the specific name by suppression of </w:t>
        </w:r>
        <w:r>
          <w:rPr>
            <w:rStyle w:val="Hyperlink"/>
            <w:i/>
            <w:iCs/>
          </w:rPr>
          <w:t xml:space="preserve">Gymnodactylus timoriensis</w:t>
        </w:r>
        <w:r>
          <w:rPr>
            <w:rStyle w:val="Hyperlink"/>
          </w:rPr>
          <w:t xml:space="preserve"> Duméril &amp; Bibron, 1836</w:t>
        </w:r>
      </w:hyperlink>
      <w:r>
        <w:t xml:space="preserve"> </w:t>
      </w:r>
      <w:r>
        <w:rPr>
          <w:i/>
          <w:iCs/>
        </w:rPr>
        <w:t xml:space="preserve">Bulletin of Zoological Nomenclature</w:t>
      </w:r>
      <w:r>
        <w:t xml:space="preserve"> 82: 14–30</w:t>
      </w:r>
    </w:p>
    <w:sectPr>
      <w:footerReference w:type="default" r:id="rId6"/>
      <w:pgSz w:w="12240" w:h="15840" w:orient="portrait"/>
      <w:pgMar w:top="1300" w:right="1300" w:bottom="1300" w:left="13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9716C"/>
        <w:sz w:val="16"/>
        <w:szCs w:val="16"/>
      </w:rPr>
      <w:t xml:space="preserve">The Timor Gecko From South America · Hinrich Kaiser · </w:t>
    </w:r>
    <w:r>
      <w:rPr>
        <w:rFonts w:ascii="Calibri" w:cs="Calibri" w:eastAsia="Calibri" w:hAnsi="Calibri"/>
        <w:color w:val="69716C"/>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360" w:hanging="240"/>
      </w:pPr>
    </w:lvl>
  </w:abstractNum>
  <w:abstractNum w:abstractNumId="3" w15:restartNumberingAfterBreak="0">
    <w:multiLevelType w:val="hybridMultilevel"/>
    <w:lvl w:ilvl="0" w:tentative="1">
      <w:start w:val="1"/>
      <w:numFmt w:val="decimal"/>
      <w:lvlText w:val="%1."/>
      <w:lvlJc w:val="left"/>
      <w:pPr>
        <w:ind w:left="360" w:hanging="360"/>
      </w:pPr>
    </w:lvl>
  </w:abstractNum>
  <w:abstractNum w:abstractNumId="4" w15:restartNumberingAfterBreak="0">
    <w:multiLevelType w:val="hybridMultilevel"/>
    <w:lvl w:ilvl="0" w:tentative="1">
      <w:start w:val="1"/>
      <w:numFmt w:val="decimal"/>
      <w:lvlText w:val="%1."/>
      <w:lvlJc w:val="left"/>
      <w:pPr>
        <w:ind w:left="360" w:hanging="360"/>
      </w:pPr>
    </w:lvl>
  </w:abstractNum>
  <w:num w:numId="1">
    <w:abstractNumId w:val="1"/>
    <w:lvlOverride w:ilvl="0">
      <w:startOverride w:val="1"/>
    </w:lvlOverride>
  </w:num>
  <w:num w:numId="2">
    <w:abstractNumId w:val="4"/>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3"/>
        <w:szCs w:val="23"/>
      </w:rPr>
    </w:rPrDefault>
    <w:pPrDefault>
      <w:pPr>
        <w:spacing w:after="180" w:line="312"/>
      </w:pPr>
    </w:pPrDefault>
  </w:docDefaults>
  <w:style w:type="paragraph" w:styleId="Normal" w:default="1">
    <w:name w:val="Normal"/>
    <w:qFormat/>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pPr>
      <w:spacing w:after="360" w:before="120" w:line="240"/>
    </w:pPr>
    <w:rPr>
      <w:rFonts w:ascii="Georgia" w:cs="Georgia" w:eastAsia="Georgia" w:hAnsi="Georgia"/>
      <w:b/>
      <w:bCs/>
      <w:color w:val="1B221E"/>
      <w:sz w:val="52"/>
      <w:szCs w:val="52"/>
    </w:rPr>
  </w:style>
  <w:style w:type="paragraph" w:styleId="Heading1">
    <w:name w:val="Heading 1"/>
    <w:basedOn w:val="Normal"/>
    <w:next w:val="Normal"/>
    <w:qFormat/>
    <w:pPr>
      <w:keepNext/>
      <w:spacing w:after="120" w:before="360"/>
    </w:pPr>
    <w:rPr>
      <w:rFonts w:ascii="Georgia" w:cs="Georgia" w:eastAsia="Georgia" w:hAnsi="Georgia"/>
      <w:b/>
      <w:bCs/>
      <w:color w:val="1B221E"/>
      <w:sz w:val="32"/>
      <w:szCs w:val="32"/>
    </w:rPr>
  </w:style>
  <w:style w:type="paragraph" w:styleId="Heading2">
    <w:name w:val="Heading 2"/>
    <w:basedOn w:val="Normal"/>
    <w:next w:val="Normal"/>
    <w:qFormat/>
    <w:pPr>
      <w:keepNext/>
      <w:spacing w:after="100" w:before="240"/>
    </w:pPr>
    <w:rPr>
      <w:rFonts w:ascii="Georgia" w:cs="Georgia" w:eastAsia="Georgia" w:hAnsi="Georgia"/>
      <w:b/>
      <w:bCs/>
      <w:color w:val="1B221E"/>
      <w:sz w:val="26"/>
      <w:szCs w:val="26"/>
    </w:rPr>
  </w:style>
  <w:style w:type="paragraph" w:styleId="PullQuote">
    <w:name w:val="Pull Quote"/>
    <w:basedOn w:val="Normal"/>
    <w:next w:val="Normal"/>
    <w:pPr>
      <w:pBdr>
        <w:left w:val="single" w:color="93461F" w:sz="18" w:space="12"/>
      </w:pBdr>
      <w:spacing w:after="280" w:before="280" w:line="300"/>
      <w:ind w:left="360"/>
    </w:pPr>
    <w:rPr>
      <w:i/>
      <w:iCs/>
      <w:color w:val="1B221E"/>
      <w:sz w:val="28"/>
      <w:szCs w:val="28"/>
    </w:rPr>
  </w:style>
  <w:style w:type="paragraph" w:styleId="FactTitle">
    <w:name w:val="Fact Title"/>
    <w:basedOn w:val="Normal"/>
    <w:next w:val="FactText"/>
    <w:pPr>
      <w:spacing w:after="100"/>
    </w:pPr>
    <w:rPr>
      <w:rFonts w:ascii="Georgia" w:cs="Georgia" w:eastAsia="Georgia" w:hAnsi="Georgia"/>
      <w:b/>
      <w:bCs/>
      <w:color w:val="93461F"/>
      <w:sz w:val="26"/>
      <w:szCs w:val="26"/>
    </w:rPr>
  </w:style>
  <w:style w:type="paragraph" w:styleId="FactText">
    <w:name w:val="Fact Text"/>
    <w:basedOn w:val="Normal"/>
    <w:pPr>
      <w:spacing w:after="120" w:line="276"/>
    </w:pPr>
    <w:rPr>
      <w:rFonts w:ascii="Calibri" w:cs="Calibri" w:eastAsia="Calibri" w:hAnsi="Calibri"/>
      <w:sz w:val="21"/>
      <w:szCs w:val="21"/>
    </w:rPr>
  </w:style>
  <w:style w:type="paragraph" w:styleId="Small">
    <w:name w:val="Small"/>
    <w:basedOn w:val="Normal"/>
    <w:pPr>
      <w:spacing w:after="100" w:line="264"/>
    </w:pPr>
    <w:rPr>
      <w:rFonts w:ascii="Calibri" w:cs="Calibri" w:eastAsia="Calibri" w:hAnsi="Calibri"/>
      <w:sz w:val="19"/>
      <w:szCs w:val="19"/>
    </w:rPr>
  </w:style>
  <w:style w:type="character" w:styleId="Hyperlink">
    <w:name w:val="Hyperlink"/>
    <w:basedOn w:val="DefaultParagraphFont"/>
    <w:uiPriority w:val="99"/>
    <w:unhideWhenUsed/>
    <w:rPr>
      <w:color w:val="93461F"/>
      <w:u w:val="single"/>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k2isblipsdsl1299zbiii" Type="http://schemas.openxmlformats.org/officeDocument/2006/relationships/hyperlink" Target="https://doi.org/10.11646/zootaxa.4576.3.4" TargetMode="External"/><Relationship Id="rId3nag0iillk0sleomtq7ah" Type="http://schemas.openxmlformats.org/officeDocument/2006/relationships/hyperlink" Target="https://doi.org/10.21805/bzn.v82.a007" TargetMode="External"/><Relationship Id="rId8" Type="http://schemas.openxmlformats.org/officeDocument/2006/relationships/image" Target="media/66801a7a218eff7c5e16cd09989fccfe3f60ad1f.jpg"/><Relationship Id="rId9" Type="http://schemas.openxmlformats.org/officeDocument/2006/relationships/image" Target="media/e8ee3f04ea1b9b05540dde1b6dffb9d2e225d00c.jpg"/><Relationship Id="rId10" Type="http://schemas.openxmlformats.org/officeDocument/2006/relationships/image" Target="media/9f6a6c5743c8292b8ebcc0355140f13f86fc98de.jpg"/><Relationship Id="rId11" Type="http://schemas.openxmlformats.org/officeDocument/2006/relationships/image" Target="media/7f99e1743eea7cc979a8c98bc5361526248411a9.jpg"/><Relationship Id="rId12" Type="http://schemas.openxmlformats.org/officeDocument/2006/relationships/image" Target="media/7de37fae9f386464c2755eca7610f7124b602396.jpg"/><Relationship Id="rId13" Type="http://schemas.openxmlformats.org/officeDocument/2006/relationships/image" Target="media/523a22914ab30c02d0b6c4477f0b107b3d0e50f9.jp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Timor Gecko From South America</dc:title>
  <dc:creator>Hinrich Kaiser</dc:creator>
  <dc:description>A gecko described in 1836 as coming from Timor was never seen there again, because it came from South America.</dc:description>
  <cp:lastModifiedBy>Un-named</cp:lastModifiedBy>
  <cp:revision>1</cp:revision>
  <dcterms:created xsi:type="dcterms:W3CDTF">2026-09-29T14:11:47.727Z</dcterms:created>
  <dcterms:modified xsi:type="dcterms:W3CDTF">2026-09-29T14:11:47.727Z</dcterms:modified>
</cp:coreProperties>
</file>

<file path=docProps/custom.xml><?xml version="1.0" encoding="utf-8"?>
<Properties xmlns="http://schemas.openxmlformats.org/officeDocument/2006/custom-properties" xmlns:vt="http://schemas.openxmlformats.org/officeDocument/2006/docPropsVTypes"/>
</file>