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5486400" cy="3095625"/>
            <wp:effectExtent t="0" r="0" b="0" l="0"/>
            <wp:docPr id="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86400" cy="3095625"/>
                    </a:xfrm>
                    <a:prstGeom prst="rect">
                      <a:avLst/>
                    </a:prstGeom>
                  </pic:spPr>
                </pic:pic>
              </a:graphicData>
            </a:graphic>
          </wp:inline>
        </w:drawing>
      </w:r>
    </w:p>
    <w:p>
      <w:pPr>
        <w:spacing w:after="240"/>
        <w:jc w:val="right"/>
      </w:pPr>
      <w:r>
        <w:rPr>
          <w:rFonts w:ascii="Calibri" w:cs="Calibri" w:eastAsia="Calibri" w:hAnsi="Calibri"/>
          <w:color w:val="69716C"/>
          <w:sz w:val="16"/>
          <w:szCs w:val="16"/>
        </w:rPr>
        <w:t xml:space="preserve">Photo from O'Shea et al. 2023, Canadian Journal of Zoology</w:t>
      </w:r>
    </w:p>
    <w:p>
      <w:pPr>
        <w:pStyle w:val="Title"/>
      </w:pPr>
      <w:r>
        <w:t xml:space="preserve">A Blank Canvas Called Timor</w:t>
      </w:r>
    </w:p>
    <w:p>
      <w:r>
        <w:t xml:space="preserve">When we started, there was almost nothing to start from. In 2009, the eastern half of Timor, a country that had been independent for only seven years, had essentially no museum record of its frogs and reptiles. Portugal had ruled it for centuries without much interest in its wildlife. The few specimens its naturalists did send home burned in 1978, in the fire at the Museu Bocage in Lisbon. After that came 24 years of Indonesian occupation, and nobody went out collecting lizards in a war zone.</w:t>
      </w:r>
    </w:p>
    <w:p>
      <w:r>
        <w:t xml:space="preserve">Mark O'Shea and I later wrote that we "embarked on the first comprehensive herpetofaunal survey of Timor-Leste in 2009 working from an almost blank canvas." (Herpetofauna is the scientists' word for a region's amphibians and reptiles.) That was not an exaggeration. When we checked the world's museums in 2010, the only frog specimens we could find from what is now Timor-Leste were a handful at the University of Papua New Guinea, collected in the mid-1980s.</w:t>
      </w:r>
    </w:p>
    <w:p>
      <w:pPr>
        <w:pStyle w:val="Heading1"/>
      </w:pPr>
      <w:r>
        <w:t xml:space="preserve">A course that became a country survey</w:t>
      </w:r>
    </w:p>
    <w:p>
      <w:r>
        <w:t xml:space="preserve">The project grew out of the way I like to teach. At Victor Valley College in California I run field courses that take students to the tropics, on the idea that people learn science best by doing it. Timor-Leste was an extraordinary place to try this. It sits where the animals of Asia meet the animals of Australia and New Guinea, and hardly anyone had looked.</w:t>
      </w:r>
    </w:p>
    <w:p>
      <w:r>
        <w:t xml:space="preserve">Nothing would have happened without the country's leaders. Our first survey report opens its acknowledgments with Prime Minister Xanana Gusmão, "with whose explicit written permission this research was carried out." President José Ramos-Horta supported us too. His senior adviser, Claudia Abate-Debat, opened door after door for us. In one paper we called her "the wind beneath our wings."</w:t>
      </w:r>
    </w:p>
    <w:p>
      <w:r>
        <w:t xml:space="preserve">Our first field season, which we called Phase I, ran from 15 to 30 July 2009. We covered 18 localities, and the trip was paid for by a federal grant to the college and by student-government travel grants to three of our students. Mark, a British herpetologist and snake specialist, co-led every expedition with me. By 2014 we had run ten of them.</w:t>
      </w:r>
    </w:p>
    <w:p>
      <w:pPr>
        <w:keepNext/>
        <w:spacing w:after="80" w:before="240"/>
        <w:jc w:val="center"/>
      </w:pPr>
      <w:r>
        <w:drawing>
          <wp:inline distT="0" distB="0" distL="0" distR="0">
            <wp:extent cx="5486400" cy="3924300"/>
            <wp:effectExtent t="0" r="0" b="0" l="0"/>
            <wp:docPr id="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86400" cy="3924300"/>
                    </a:xfrm>
                    <a:prstGeom prst="rect">
                      <a:avLst/>
                    </a:prstGeom>
                  </pic:spPr>
                </pic:pic>
              </a:graphicData>
            </a:graphic>
          </wp:inline>
        </w:drawing>
      </w:r>
    </w:p>
    <w:p>
      <w:pPr>
        <w:spacing w:after="280"/>
      </w:pPr>
      <w:r>
        <w:rPr>
          <w:rFonts w:ascii="Calibri" w:cs="Calibri" w:eastAsia="Calibri" w:hAnsi="Calibri"/>
          <w:sz w:val="19"/>
          <w:szCs w:val="19"/>
        </w:rPr>
        <w:t xml:space="preserve">Four young Timorese scientists crouch around a concrete slab at night, one wearing magnifying goggles, counting the scales of a tiny blindsnake.</w:t>
      </w:r>
      <w:r>
        <w:rPr>
          <w:rFonts w:ascii="Calibri" w:cs="Calibri" w:eastAsia="Calibri" w:hAnsi="Calibri"/>
          <w:color w:val="69716C"/>
          <w:sz w:val="16"/>
          <w:szCs w:val="16"/>
        </w:rPr>
        <w:t xml:space="preserve">  Photo from O'Shea et al. 2023, Canadian Journal of Zoology</w:t>
      </w:r>
    </w:p>
    <w:p>
      <w:pPr>
        <w:pStyle w:val="Heading1"/>
      </w:pPr>
      <w:r>
        <w:t xml:space="preserve">Benny and the Jets</w:t>
      </w:r>
    </w:p>
    <w:p>
      <w:r>
        <w:t xml:space="preserve">The most important decision we made was to work with Timorese students. Our first co-author from the national university, Universidade Nacional Timor Lorosa'e, was Venancio "Benny" Lopes Carvalho. Benny introduced us to three friends who were training as science teachers: Agivedo "Laca" Varela Ribeiro, Zito Afranio Soares and Luis Lemos de Araujo. They wanted to write research theses in biology for their teaching degrees, which no one there had done before. We decided to help.</w:t>
      </w:r>
    </w:p>
    <w:p>
      <w:r>
        <w:t xml:space="preserve">Mark named the four of them "the Jets", after Elton John's song "Bennie and the Jets." They translated between languages, fixed problems and found animals, and they became our close friends. Zito wrote his thesis on frogs in moist and dry habitats near Maliana. He later ran the first village interviews with our picture cards, and he took the photograph of mating toads in our frog report. Laca graduated and went on to mangrove replanting and environmental art. Years later a new species was named after him.</w:t>
      </w:r>
    </w:p>
    <w:p>
      <w:pPr>
        <w:keepNext/>
        <w:spacing w:after="80" w:before="240"/>
        <w:jc w:val="center"/>
      </w:pPr>
      <w:r>
        <w:drawing>
          <wp:inline distT="0" distB="0" distL="0" distR="0">
            <wp:extent cx="5486400" cy="4124325"/>
            <wp:effectExtent t="0" r="0" b="0" l="0"/>
            <wp:docPr id="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486400" cy="4124325"/>
                    </a:xfrm>
                    <a:prstGeom prst="rect">
                      <a:avLst/>
                    </a:prstGeom>
                  </pic:spPr>
                </pic:pic>
              </a:graphicData>
            </a:graphic>
          </wp:inline>
        </w:drawing>
      </w:r>
    </w:p>
    <w:p>
      <w:pPr>
        <w:spacing w:after="280"/>
      </w:pPr>
      <w:r>
        <w:rPr>
          <w:rFonts w:ascii="Calibri" w:cs="Calibri" w:eastAsia="Calibri" w:hAnsi="Calibri"/>
          <w:sz w:val="19"/>
          <w:szCs w:val="19"/>
        </w:rPr>
        <w:t xml:space="preserve">Timorese students work at a folding table in an open-air field laboratory, preparing specimens.</w:t>
      </w:r>
      <w:r>
        <w:rPr>
          <w:rFonts w:ascii="Calibri" w:cs="Calibri" w:eastAsia="Calibri" w:hAnsi="Calibri"/>
          <w:color w:val="69716C"/>
          <w:sz w:val="16"/>
          <w:szCs w:val="16"/>
        </w:rPr>
        <w:t xml:space="preserve">  Photo: Hinrich Kaiser, from Kaiser et al. 2013, Salamandra</w:t>
      </w:r>
    </w:p>
    <w:p>
      <w:pPr>
        <w:pStyle w:val="Heading1"/>
      </w:pPr>
      <w:r>
        <w:t xml:space="preserve">What we found</w:t>
      </w:r>
    </w:p>
    <w:p>
      <w:r>
        <w:t xml:space="preserve">Our first full survey report came out in 2011 in the open-access journal </w:t>
      </w:r>
      <w:r>
        <w:rPr>
          <w:i/>
          <w:iCs/>
        </w:rPr>
        <w:t xml:space="preserve">ZooKeys</w:t>
      </w:r>
      <w:r>
        <w:t xml:space="preserve">. It was 68 pages long and covered 263 specimens from 2004 and 2009. It included a glossary for non-specialists, because we wanted it to work as a first field guide to the country's frogs and reptiles.</w:t>
      </w:r>
    </w:p>
    <w:p>
      <w:r>
        <w:t xml:space="preserve">The surprises started right away. Three kinds of rice paddy frogs (genus </w:t>
      </w:r>
      <w:r>
        <w:rPr>
          <w:i/>
          <w:iCs/>
        </w:rPr>
        <w:t xml:space="preserve">Fejervarya</w:t>
      </w:r>
      <w:r>
        <w:t xml:space="preserve">) all turned out to be undescribed species. Two frog names that had been used for Timor for years had been misidentifications all along. We found a bent-toed gecko (genus </w:t>
      </w:r>
      <w:r>
        <w:rPr>
          <w:i/>
          <w:iCs/>
        </w:rPr>
        <w:t xml:space="preserve">Cyrtodactylus</w:t>
      </w:r>
      <w:r>
        <w:t xml:space="preserve">) new to science in the Same valley. Pitvipers, green venomous snakes, made up more than a quarter of the snakes we caught.</w:t>
      </w:r>
    </w:p>
    <w:p>
      <w:r>
        <w:t xml:space="preserve">In the dry coastal forest at Loré we watched six lizard species share the same trees at different heights. Four-fingered skinks (</w:t>
      </w:r>
      <w:r>
        <w:rPr>
          <w:i/>
          <w:iCs/>
        </w:rPr>
        <w:t xml:space="preserve">Carlia</w:t>
      </w:r>
      <w:r>
        <w:t xml:space="preserve">) hunted in the dead leaves. Wedge skinks (</w:t>
      </w:r>
      <w:r>
        <w:rPr>
          <w:i/>
          <w:iCs/>
        </w:rPr>
        <w:t xml:space="preserve">Sphenomorphus</w:t>
      </w:r>
      <w:r>
        <w:t xml:space="preserve">) held the roots and buttresses. Snake-eyed skinks ran up the trunks one to four metres off the ground, and emerald tree skinks lived higher still. At the very top, male flying lizards (</w:t>
      </w:r>
      <w:r>
        <w:rPr>
          <w:i/>
          <w:iCs/>
        </w:rPr>
        <w:t xml:space="preserve">Draco</w:t>
      </w:r>
      <w:r>
        <w:t xml:space="preserve">) displayed from the best perch of all.</w:t>
      </w:r>
    </w:p>
    <w:p>
      <w:pPr>
        <w:pStyle w:val="PullQuote"/>
      </w:pPr>
      <w:r>
        <w:t xml:space="preserve">"Some of the specimens we collected may have shared their habitat with freedom fighters and their local supporters less than a decade earlier." — Kaiser et al. 2011</w:t>
      </w:r>
    </w:p>
    <w:p>
      <w:r>
        <w:t xml:space="preserve">We kept going back. In July 2010 we made the first survey of the reptiles and amphibians of Oecusse, and Caitlin Sanchez, one of our Victor Valley students, led the report that followed. Oecusse is a small piece of Timor-Leste hemmed in by Indonesian West Timor on the landward side, and we reached it by driving through Indonesia. On Ataúro Island, 25 km off the capital, Dili, we found no frogs, turtles or crocodiles at all. We did find what looked like new geckos and skinks, and a monitor lizard that no one could place.</w:t>
      </w:r>
    </w:p>
    <w:p>
      <w:pPr>
        <w:keepNext/>
        <w:spacing w:after="80" w:before="240"/>
        <w:jc w:val="center"/>
      </w:pPr>
      <w:r>
        <w:drawing>
          <wp:inline distT="0" distB="0" distL="0" distR="0">
            <wp:extent cx="5486400" cy="4067175"/>
            <wp:effectExtent t="0" r="0" b="0" l="0"/>
            <wp:docPr id="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486400" cy="4067175"/>
                    </a:xfrm>
                    <a:prstGeom prst="rect">
                      <a:avLst/>
                    </a:prstGeom>
                  </pic:spPr>
                </pic:pic>
              </a:graphicData>
            </a:graphic>
          </wp:inline>
        </w:drawing>
      </w:r>
    </w:p>
    <w:p>
      <w:pPr>
        <w:spacing w:after="280"/>
      </w:pPr>
      <w:r>
        <w:rPr>
          <w:rFonts w:ascii="Calibri" w:cs="Calibri" w:eastAsia="Calibri" w:hAnsi="Calibri"/>
          <w:sz w:val="19"/>
          <w:szCs w:val="19"/>
        </w:rPr>
        <w:t xml:space="preserve">A dark monitor lizard with pale speckles rests on a pile of palm fibre in front of two boulders.</w:t>
      </w:r>
      <w:r>
        <w:rPr>
          <w:rFonts w:ascii="Calibri" w:cs="Calibri" w:eastAsia="Calibri" w:hAnsi="Calibri"/>
          <w:color w:val="69716C"/>
          <w:sz w:val="16"/>
          <w:szCs w:val="16"/>
        </w:rPr>
        <w:t xml:space="preserve">  Photo: Mark O'Shea, from Kaiser et al. 2013, Check List</w:t>
      </w:r>
    </w:p>
    <w:p>
      <w:r>
        <w:t xml:space="preserve">In 2011 we published the country's first report on frogs, in the amphibian newsletter </w:t>
      </w:r>
      <w:r>
        <w:rPr>
          <w:i/>
          <w:iCs/>
        </w:rPr>
        <w:t xml:space="preserve">FrogLog</w:t>
      </w:r>
      <w:r>
        <w:t xml:space="preserve">. At the time only five frog species were confirmed, and just one of them, the Timor river frog, is found on Timor and nowhere else. By 2015 our review of the whole country had raised the number of known amphibians and reptiles from 22 before our surveys to more than 60. Over 20 of them were species not yet described.</w:t>
      </w:r>
    </w:p>
    <w:p>
      <w:pPr>
        <w:keepNext/>
        <w:spacing w:after="80" w:before="240"/>
        <w:jc w:val="center"/>
      </w:pPr>
      <w:r>
        <w:drawing>
          <wp:inline distT="0" distB="0" distL="0" distR="0">
            <wp:extent cx="5486400" cy="3648075"/>
            <wp:effectExtent t="0" r="0" b="0" l="0"/>
            <wp:docPr id="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486400" cy="3648075"/>
                    </a:xfrm>
                    <a:prstGeom prst="rect">
                      <a:avLst/>
                    </a:prstGeom>
                  </pic:spPr>
                </pic:pic>
              </a:graphicData>
            </a:graphic>
          </wp:inline>
        </w:drawing>
      </w:r>
    </w:p>
    <w:p>
      <w:pPr>
        <w:spacing w:after="280"/>
      </w:pPr>
      <w:r>
        <w:rPr>
          <w:rFonts w:ascii="Calibri" w:cs="Calibri" w:eastAsia="Calibri" w:hAnsi="Calibri"/>
          <w:sz w:val="19"/>
          <w:szCs w:val="19"/>
        </w:rPr>
        <w:t xml:space="preserve">A brown frog with a dark mask sits among damp leaves beside a mountain stream.</w:t>
      </w:r>
      <w:r>
        <w:rPr>
          <w:rFonts w:ascii="Calibri" w:cs="Calibri" w:eastAsia="Calibri" w:hAnsi="Calibri"/>
          <w:color w:val="69716C"/>
          <w:sz w:val="16"/>
          <w:szCs w:val="16"/>
        </w:rPr>
        <w:t xml:space="preserve">  Photo: Mark O'Shea, from Kaiser, Afranio Soares &amp; O'Shea 2011, FrogLog</w:t>
      </w:r>
    </w:p>
    <w:p>
      <w:pPr>
        <w:spacing w:after="0"/>
      </w:pPr>
    </w:p>
    <w:tbl>
      <w:tblPr>
        <w:tblW w:type="pct" w:w="5000"/>
        <w:tblBorders>
          <w:top w:val="single" w:color="D9CFBC" w:sz="6"/>
          <w:left w:val="single" w:color="D9CFBC" w:sz="6"/>
          <w:bottom w:val="single" w:color="D9CFBC" w:sz="6"/>
          <w:right w:val="single" w:color="D9CFBC" w:sz="6"/>
          <w:insideH w:val="single" w:color="D9CFBC" w:sz="6"/>
          <w:insideV w:val="single" w:color="D9CFBC" w:sz="6"/>
        </w:tblBorders>
      </w:tblPr>
      <w:tblGrid>
        <w:gridCol w:w="9640"/>
      </w:tblGrid>
      <w:tr>
        <w:tc>
          <w:tcPr>
            <w:shd w:fill="F4EFE4" w:color="auto" w:val="clear"/>
            <w:tcMar>
              <w:top w:type="dxa" w:w="200"/>
              <w:left w:type="dxa" w:w="240"/>
              <w:bottom w:type="dxa" w:w="120"/>
              <w:right w:type="dxa" w:w="240"/>
            </w:tcMar>
          </w:tcPr>
          <w:p>
            <w:pPr>
              <w:pStyle w:val="FactTitle"/>
            </w:pPr>
            <w:r>
              <w:t xml:space="preserve">Ten expeditions, one country</w:t>
            </w:r>
          </w:p>
          <w:p>
            <w:pPr>
              <w:pStyle w:val="FactText"/>
              <w:numPr>
                <w:ilvl w:val="0"/>
                <w:numId w:val="2"/>
              </w:numPr>
            </w:pPr>
            <w:r>
              <w:t xml:space="preserve">Ten field phases, 2009–2014, co-led with Mark O'Shea</w:t>
            </w:r>
          </w:p>
          <w:p>
            <w:pPr>
              <w:pStyle w:val="FactText"/>
              <w:numPr>
                <w:ilvl w:val="0"/>
                <w:numId w:val="2"/>
              </w:numPr>
            </w:pPr>
            <w:r>
              <w:t xml:space="preserve">All 13 districts surveyed, including Oecusse, Ataúro and Jaco Island</w:t>
            </w:r>
          </w:p>
          <w:p>
            <w:pPr>
              <w:pStyle w:val="FactText"/>
              <w:numPr>
                <w:ilvl w:val="0"/>
                <w:numId w:val="2"/>
              </w:numPr>
            </w:pPr>
            <w:r>
              <w:t xml:space="preserve">From 22 known species to more than 60, over 20 of them undescribed</w:t>
            </w:r>
          </w:p>
          <w:p>
            <w:pPr>
              <w:pStyle w:val="FactText"/>
              <w:numPr>
                <w:ilvl w:val="0"/>
                <w:numId w:val="2"/>
              </w:numPr>
            </w:pPr>
            <w:r>
              <w:t xml:space="preserve">Nearly 1,500 specimens and tissue samples deposited at the Smithsonian</w:t>
            </w:r>
          </w:p>
        </w:tc>
      </w:tr>
    </w:tbl>
    <w:p>
      <w:pPr>
        <w:spacing w:after="120"/>
      </w:pPr>
    </w:p>
    <w:p>
      <w:pPr>
        <w:pStyle w:val="Heading1"/>
      </w:pPr>
      <w:r>
        <w:t xml:space="preserve">Stamps, specimens and a flag</w:t>
      </w:r>
    </w:p>
    <w:p>
      <w:r>
        <w:t xml:space="preserve">Some of what came out of the survey was not printed in journals. On 28 November 2010, the 35th anniversary of the country's first proclamation of independence, Prime Minister Gusmão launched a set of six postage stamps showing Timor-Leste's reptiles and amphibians. They pictured the Timor river frog, the Timor snake-necked turtle, the island pitviper, the Timor monitor, the Timor bronzeback snake, and the saltwater crocodile on a one-dollar stamp. Mark and I supplied the photographs. It was a strange and lovely feeling to see animals we had caught travelling on the country's mail.</w:t>
      </w:r>
    </w:p>
    <w:p>
      <w:r>
        <w:t xml:space="preserve">The specimens themselves went to the Smithsonian's National Museum of Natural History in Washington, DC, with tissue samples for DNA work. For the first time, scientists anywhere can study Timor-Leste's frogs and reptiles from modern, well-documented material. For some species it was the first fresh material since the 1820s. Our last two expeditions, in 2014, carried Explorers Club Flag #97. The hero photograph above shows the Phase X team on Jaco Island, at the country's eastern tip.</w:t>
      </w:r>
    </w:p>
    <w:p>
      <w:pPr>
        <w:pStyle w:val="Heading1"/>
      </w:pPr>
      <w:r>
        <w:t xml:space="preserve">Why it mattered</w:t>
      </w:r>
    </w:p>
    <w:p>
      <w:r>
        <w:t xml:space="preserve">Timor-Leste is not rich. Most rural families live on what they farm, and centuries of sandalwood cutting, coffee plantations and firewood gathering have stripped many hillsides. We wrote that the country "poses a conundrum: while biodiversity is high, it is in peril." You cannot copy another country's conservation laws onto a place where a family's next meal comes from the land. What you can do is teach, train and write down what is there.</w:t>
      </w:r>
    </w:p>
    <w:p>
      <w:r>
        <w:t xml:space="preserve">That is why I am proudest of the people. Timorese students got teaching degrees through real research. Government park staff got survey methods and a deck of identification cards. The friendships have lasted too. President Ramos-Horta later asked me to represent him on the board of the PeaceJam Foundation, which brings young people together with Nobel Peace laureates, and in 2026 I became its chair. It all began with a blank canvas and a group of students willing to turn over rocks.</w:t>
      </w:r>
    </w:p>
    <w:p>
      <w:pPr>
        <w:pStyle w:val="Heading1"/>
      </w:pPr>
      <w:r>
        <w:t xml:space="preserve">At a glance</w:t>
      </w:r>
    </w:p>
    <w:p>
      <w:pPr>
        <w:pStyle w:val="Small"/>
        <w:spacing w:after="40"/>
      </w:pPr>
      <w:r>
        <w:rPr>
          <w:b/>
          <w:bCs/>
        </w:rPr>
        <w:t xml:space="preserve">Where: </w:t>
      </w:r>
      <w:r>
        <w:t xml:space="preserve">Timor-Leste</w:t>
      </w:r>
    </w:p>
    <w:p>
      <w:pPr>
        <w:pStyle w:val="Small"/>
        <w:spacing w:after="40"/>
      </w:pPr>
      <w:r>
        <w:rPr>
          <w:b/>
          <w:bCs/>
        </w:rPr>
        <w:t xml:space="preserve">When: </w:t>
      </w:r>
      <w:r>
        <w:t xml:space="preserve">2009–2014</w:t>
      </w:r>
    </w:p>
    <w:p>
      <w:pPr>
        <w:pStyle w:val="Heading1"/>
      </w:pPr>
      <w:r>
        <w:t xml:space="preserve">The papers</w:t>
      </w:r>
    </w:p>
    <w:p>
      <w:pPr>
        <w:pStyle w:val="Small"/>
        <w:numPr>
          <w:ilvl w:val="0"/>
          <w:numId w:val="3"/>
        </w:numPr>
      </w:pPr>
      <w:r>
        <w:rPr>
          <w:b/>
          <w:bCs/>
        </w:rPr>
        <w:t xml:space="preserve">Kaiser H</w:t>
      </w:r>
      <w:r>
        <w:rPr>
          <w:b w:val="false"/>
          <w:bCs w:val="false"/>
        </w:rPr>
        <w:t xml:space="preserve">, Lopes Carvalho V, Freed P, O’Shea M</w:t>
      </w:r>
      <w:r>
        <w:t xml:space="preserve"> (2009) </w:t>
      </w:r>
      <w:r>
        <w:t xml:space="preserve">Status report on </w:t>
      </w:r>
      <w:r>
        <w:rPr>
          <w:i/>
          <w:iCs/>
        </w:rPr>
        <w:t xml:space="preserve">Crocodylus porosus</w:t>
      </w:r>
      <w:r>
        <w:t xml:space="preserve"> and human-crocodile interactions in Timor-Leste</w:t>
      </w:r>
      <w:r>
        <w:t xml:space="preserve"> </w:t>
      </w:r>
      <w:r>
        <w:rPr>
          <w:i/>
          <w:iCs/>
        </w:rPr>
        <w:t xml:space="preserve">Crocodile Specialist Group Newsletter</w:t>
      </w:r>
      <w:r>
        <w:t xml:space="preserve"> 28(3): 12–14</w:t>
      </w:r>
    </w:p>
    <w:p>
      <w:pPr>
        <w:pStyle w:val="Small"/>
        <w:numPr>
          <w:ilvl w:val="0"/>
          <w:numId w:val="3"/>
        </w:numPr>
      </w:pPr>
      <w:r>
        <w:rPr>
          <w:b/>
          <w:bCs/>
        </w:rPr>
        <w:t xml:space="preserve">Kaiser H</w:t>
      </w:r>
      <w:r>
        <w:rPr>
          <w:b w:val="false"/>
          <w:bCs w:val="false"/>
        </w:rPr>
        <w:t xml:space="preserve">, Lopes Carvalho V, Ceballos J, Freed P, Heacox S, Lester B, Richards SJ, Trainor CR, Sanchez C, O’Shea M</w:t>
      </w:r>
      <w:r>
        <w:t xml:space="preserve"> (2011) </w:t>
      </w:r>
      <w:hyperlink w:history="1" r:id="rIda6h33v0ijxjwin68t3qle">
        <w:r>
          <w:rPr>
            <w:rStyle w:val="Hyperlink"/>
          </w:rPr>
          <w:t xml:space="preserve">The herpetofauna of Timor-Leste: a first report</w:t>
        </w:r>
      </w:hyperlink>
      <w:r>
        <w:t xml:space="preserve"> </w:t>
      </w:r>
      <w:r>
        <w:rPr>
          <w:i/>
          <w:iCs/>
        </w:rPr>
        <w:t xml:space="preserve">ZooKeys</w:t>
      </w:r>
      <w:r>
        <w:t xml:space="preserve"> 109: 19–86</w:t>
      </w:r>
    </w:p>
    <w:p>
      <w:pPr>
        <w:pStyle w:val="Small"/>
        <w:numPr>
          <w:ilvl w:val="0"/>
          <w:numId w:val="3"/>
        </w:numPr>
      </w:pPr>
      <w:r>
        <w:rPr>
          <w:b/>
          <w:bCs/>
        </w:rPr>
        <w:t xml:space="preserve">Kaiser H</w:t>
      </w:r>
      <w:r>
        <w:rPr>
          <w:b w:val="false"/>
          <w:bCs w:val="false"/>
        </w:rPr>
        <w:t xml:space="preserve">, Afranio Soares Z, O’Shea M</w:t>
      </w:r>
      <w:r>
        <w:t xml:space="preserve"> (2011) </w:t>
      </w:r>
      <w:r>
        <w:t xml:space="preserve">New beginnings – a first report on frog research in Timor-Leste</w:t>
      </w:r>
      <w:r>
        <w:t xml:space="preserve"> </w:t>
      </w:r>
      <w:r>
        <w:rPr>
          <w:i/>
          <w:iCs/>
        </w:rPr>
        <w:t xml:space="preserve">FrogLog</w:t>
      </w:r>
      <w:r>
        <w:t xml:space="preserve"> (99): 44–45</w:t>
      </w:r>
    </w:p>
    <w:p>
      <w:pPr>
        <w:pStyle w:val="Small"/>
        <w:numPr>
          <w:ilvl w:val="0"/>
          <w:numId w:val="3"/>
        </w:numPr>
      </w:pPr>
      <w:r>
        <w:rPr>
          <w:b w:val="false"/>
          <w:bCs w:val="false"/>
        </w:rPr>
        <w:t xml:space="preserve">Sanchez C, Lopes Carvalho V, Kathriner A, O’Shea M, </w:t>
      </w:r>
      <w:r>
        <w:rPr>
          <w:b/>
          <w:bCs/>
        </w:rPr>
        <w:t xml:space="preserve">Kaiser H</w:t>
      </w:r>
      <w:r>
        <w:t xml:space="preserve"> (2012) </w:t>
      </w:r>
      <w:r>
        <w:t xml:space="preserve">First report on the herpetofauna of the Oecusse District, an exclave of Timor-Leste</w:t>
      </w:r>
      <w:r>
        <w:t xml:space="preserve"> </w:t>
      </w:r>
      <w:r>
        <w:rPr>
          <w:i/>
          <w:iCs/>
        </w:rPr>
        <w:t xml:space="preserve">Herpetology Notes</w:t>
      </w:r>
      <w:r>
        <w:t xml:space="preserve"> 5: 137–149</w:t>
      </w:r>
    </w:p>
    <w:p>
      <w:pPr>
        <w:pStyle w:val="Small"/>
        <w:numPr>
          <w:ilvl w:val="0"/>
          <w:numId w:val="3"/>
        </w:numPr>
      </w:pPr>
      <w:r>
        <w:rPr>
          <w:b w:val="false"/>
          <w:bCs w:val="false"/>
        </w:rPr>
        <w:t xml:space="preserve">O’Shea M, Sanchez C, Kathriner A, Lopes Carvalho V, Varela Ribeiro A, Afranio Soares Z, Lemos de Araujo L, </w:t>
      </w:r>
      <w:r>
        <w:rPr>
          <w:b/>
          <w:bCs/>
        </w:rPr>
        <w:t xml:space="preserve">Kaiser H</w:t>
      </w:r>
      <w:r>
        <w:t xml:space="preserve"> (2012) </w:t>
      </w:r>
      <w:hyperlink w:history="1" r:id="rIdhlnf37lajtmv4xu9bxf0q">
        <w:r>
          <w:rPr>
            <w:rStyle w:val="Hyperlink"/>
          </w:rPr>
          <w:t xml:space="preserve">First Update to Herpetofaunal Records from Timor-Leste</w:t>
        </w:r>
      </w:hyperlink>
      <w:r>
        <w:t xml:space="preserve"> </w:t>
      </w:r>
      <w:r>
        <w:rPr>
          <w:i/>
          <w:iCs/>
        </w:rPr>
        <w:t xml:space="preserve">Asian Herpetological Research</w:t>
      </w:r>
      <w:r>
        <w:t xml:space="preserve"> 3: 114–126</w:t>
      </w:r>
    </w:p>
    <w:p>
      <w:pPr>
        <w:pStyle w:val="Small"/>
        <w:numPr>
          <w:ilvl w:val="0"/>
          <w:numId w:val="3"/>
        </w:numPr>
      </w:pPr>
      <w:r>
        <w:rPr>
          <w:b/>
          <w:bCs/>
        </w:rPr>
        <w:t xml:space="preserve">Kaiser H</w:t>
      </w:r>
      <w:r>
        <w:rPr>
          <w:b w:val="false"/>
          <w:bCs w:val="false"/>
        </w:rPr>
        <w:t xml:space="preserve">, Sanchez C, Heacox S, Kathriner A, Varela Ribeiro A, Afranio Soares Z, Lemos de Araujo L, Mecke S, O’Shea M</w:t>
      </w:r>
      <w:r>
        <w:t xml:space="preserve"> (2013) </w:t>
      </w:r>
      <w:hyperlink w:history="1" r:id="rIdxvr2vqfi3bjr9bjjyzj0r">
        <w:r>
          <w:rPr>
            <w:rStyle w:val="Hyperlink"/>
          </w:rPr>
          <w:t xml:space="preserve">First Report on the Herpetofauna of Ataúro Island, Timor-Leste</w:t>
        </w:r>
      </w:hyperlink>
      <w:r>
        <w:t xml:space="preserve"> </w:t>
      </w:r>
      <w:r>
        <w:rPr>
          <w:i/>
          <w:iCs/>
        </w:rPr>
        <w:t xml:space="preserve">Check List</w:t>
      </w:r>
      <w:r>
        <w:t xml:space="preserve"> 9(4): 752–762</w:t>
      </w:r>
    </w:p>
    <w:p>
      <w:pPr>
        <w:pStyle w:val="Small"/>
        <w:numPr>
          <w:ilvl w:val="0"/>
          <w:numId w:val="3"/>
        </w:numPr>
      </w:pPr>
      <w:r>
        <w:rPr>
          <w:b w:val="false"/>
          <w:bCs w:val="false"/>
        </w:rPr>
        <w:t xml:space="preserve">O’Shea M, </w:t>
      </w:r>
      <w:r>
        <w:rPr>
          <w:b/>
          <w:bCs/>
        </w:rPr>
        <w:t xml:space="preserve">Kaiser H</w:t>
      </w:r>
      <w:r>
        <w:t xml:space="preserve"> (2013) </w:t>
      </w:r>
      <w:r>
        <w:t xml:space="preserve">Working with a full deck: the use of picture cards in herpetological surveys of Timor-Leste</w:t>
      </w:r>
      <w:r>
        <w:t xml:space="preserve"> </w:t>
      </w:r>
      <w:r>
        <w:rPr>
          <w:i/>
          <w:iCs/>
        </w:rPr>
        <w:t xml:space="preserve">Herpetological Review</w:t>
      </w:r>
      <w:r>
        <w:t xml:space="preserve"> 44: 68–76</w:t>
      </w:r>
    </w:p>
    <w:p>
      <w:pPr>
        <w:pStyle w:val="Small"/>
        <w:numPr>
          <w:ilvl w:val="0"/>
          <w:numId w:val="3"/>
        </w:numPr>
      </w:pPr>
      <w:r>
        <w:rPr>
          <w:b/>
          <w:bCs/>
        </w:rPr>
        <w:t xml:space="preserve">Kaiser H</w:t>
      </w:r>
      <w:r>
        <w:rPr>
          <w:b w:val="false"/>
          <w:bCs w:val="false"/>
        </w:rPr>
        <w:t xml:space="preserve">, Taylor D, Heacox S, Landry P, Sanchez C, Varela Ribeiro A, Lemos de Araujo L, Kathriner A, O’Shea M</w:t>
      </w:r>
      <w:r>
        <w:t xml:space="preserve"> (2013) </w:t>
      </w:r>
      <w:r>
        <w:t xml:space="preserve">Conservation education in a post-conflict country: five herpetological case studies of Timor-Leste</w:t>
      </w:r>
      <w:r>
        <w:t xml:space="preserve"> </w:t>
      </w:r>
      <w:r>
        <w:rPr>
          <w:i/>
          <w:iCs/>
        </w:rPr>
        <w:t xml:space="preserve">Salamandra</w:t>
      </w:r>
      <w:r>
        <w:t xml:space="preserve"> 49: 74–86</w:t>
      </w:r>
    </w:p>
    <w:p>
      <w:pPr>
        <w:pStyle w:val="Small"/>
        <w:numPr>
          <w:ilvl w:val="0"/>
          <w:numId w:val="3"/>
        </w:numPr>
      </w:pPr>
      <w:r>
        <w:rPr>
          <w:b/>
          <w:bCs/>
        </w:rPr>
        <w:t xml:space="preserve">Kaiser H</w:t>
      </w:r>
      <w:r>
        <w:rPr>
          <w:b w:val="false"/>
          <w:bCs w:val="false"/>
        </w:rPr>
        <w:t xml:space="preserve">, O’Shea M, Kaiser CM</w:t>
      </w:r>
      <w:r>
        <w:t xml:space="preserve"> (2014) </w:t>
      </w:r>
      <w:r>
        <w:t xml:space="preserve">Amphibians of Timor-Leste: a small fauna under pressure</w:t>
      </w:r>
      <w:r>
        <w:t xml:space="preserve"> </w:t>
      </w:r>
      <w:r>
        <w:rPr>
          <w:i/>
          <w:iCs/>
        </w:rPr>
        <w:t xml:space="preserve">Conservation Biology of Amphibians of Asia (H Heatwole &amp; I Das, eds.). Natural History Publications (Borneo), Kota Kinabalu, Sabah, Malaysia</w:t>
      </w:r>
      <w:r>
        <w:t xml:space="preserve"> pp. 350–361</w:t>
      </w:r>
    </w:p>
    <w:p>
      <w:pPr>
        <w:pStyle w:val="Small"/>
        <w:numPr>
          <w:ilvl w:val="0"/>
          <w:numId w:val="3"/>
        </w:numPr>
      </w:pPr>
      <w:r>
        <w:rPr>
          <w:b w:val="false"/>
          <w:bCs w:val="false"/>
        </w:rPr>
        <w:t xml:space="preserve">O’Shea M, Sanchez C, Kathriner A, Mecke S, Lopes Carvalho V, Varela Ribeiro A, Afranio Soares Z, Lemos de Araujo L, </w:t>
      </w:r>
      <w:r>
        <w:rPr>
          <w:b/>
          <w:bCs/>
        </w:rPr>
        <w:t xml:space="preserve">Kaiser H</w:t>
      </w:r>
      <w:r>
        <w:t xml:space="preserve"> (2015) </w:t>
      </w:r>
      <w:hyperlink w:history="1" r:id="rIdsavjkklws5bndeu0yhkf_">
        <w:r>
          <w:rPr>
            <w:rStyle w:val="Hyperlink"/>
          </w:rPr>
          <w:t xml:space="preserve">Herpetological diversity of Timor-Leste: updates and a review of species distributions</w:t>
        </w:r>
      </w:hyperlink>
      <w:r>
        <w:t xml:space="preserve"> </w:t>
      </w:r>
      <w:r>
        <w:rPr>
          <w:i/>
          <w:iCs/>
        </w:rPr>
        <w:t xml:space="preserve">Asian Herpetological Research</w:t>
      </w:r>
      <w:r>
        <w:t xml:space="preserve"> 6(2): 73–131</w:t>
      </w:r>
    </w:p>
    <w:p>
      <w:pPr>
        <w:pStyle w:val="Small"/>
        <w:numPr>
          <w:ilvl w:val="0"/>
          <w:numId w:val="3"/>
        </w:numPr>
      </w:pPr>
      <w:r>
        <w:rPr>
          <w:b w:val="false"/>
          <w:bCs w:val="false"/>
        </w:rPr>
        <w:t xml:space="preserve">O’Shea M, Wallach V, Hsiao E, </w:t>
      </w:r>
      <w:r>
        <w:rPr>
          <w:b/>
          <w:bCs/>
        </w:rPr>
        <w:t xml:space="preserve">Kaiser H</w:t>
      </w:r>
      <w:r>
        <w:t xml:space="preserve"> (2023) </w:t>
      </w:r>
      <w:hyperlink w:history="1" r:id="rIdgz8nvyamytmp3eablcvhz">
        <w:r>
          <w:rPr>
            <w:rStyle w:val="Hyperlink"/>
          </w:rPr>
          <w:t xml:space="preserve">“Anteaters” under the airport: a slender new species of blindsnake, genus </w:t>
        </w:r>
        <w:r>
          <w:rPr>
            <w:rStyle w:val="Hyperlink"/>
            <w:i/>
            <w:iCs/>
          </w:rPr>
          <w:t xml:space="preserve">Indotyphlops</w:t>
        </w:r>
        <w:r>
          <w:rPr>
            <w:rStyle w:val="Hyperlink"/>
          </w:rPr>
          <w:t xml:space="preserve">, from Timor-Leste (Scolecophidia: Typhlopidae: Asiatyphlopinae)</w:t>
        </w:r>
      </w:hyperlink>
      <w:r>
        <w:t xml:space="preserve"> </w:t>
      </w:r>
      <w:r>
        <w:rPr>
          <w:i/>
          <w:iCs/>
        </w:rPr>
        <w:t xml:space="preserve">Canadian Journal of Zoology</w:t>
      </w:r>
      <w:r>
        <w:t xml:space="preserve"> 101: 486–498</w:t>
      </w:r>
    </w:p>
    <w:sectPr>
      <w:footerReference w:type="default" r:id="rId6"/>
      <w:pgSz w:w="12240" w:h="15840"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9716C"/>
        <w:sz w:val="16"/>
        <w:szCs w:val="16"/>
      </w:rPr>
      <w:t xml:space="preserve">A Blank Canvas Called Timor · Hinrich Kaiser · </w:t>
    </w:r>
    <w:r>
      <w:rPr>
        <w:rFonts w:ascii="Calibri" w:cs="Calibri" w:eastAsia="Calibri" w:hAnsi="Calibri"/>
        <w:color w:val="69716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abstractNum w:abstractNumId="3" w15:restartNumberingAfterBreak="0">
    <w:multiLevelType w:val="hybridMultilevel"/>
    <w:lvl w:ilvl="0" w:tentative="1">
      <w:start w:val="1"/>
      <w:numFmt w:val="decimal"/>
      <w:lvlText w:val="%1."/>
      <w:lvlJc w:val="left"/>
      <w:pPr>
        <w:ind w:left="360" w:hanging="360"/>
      </w:pPr>
    </w:lvl>
  </w:abstractNum>
  <w:abstractNum w:abstractNumId="4" w15:restartNumberingAfterBreak="0">
    <w:multiLevelType w:val="hybridMultilevel"/>
    <w:lvl w:ilvl="0" w:tentative="1">
      <w:start w:val="1"/>
      <w:numFmt w:val="decimal"/>
      <w:lvlText w:val="%1."/>
      <w:lvlJc w:val="left"/>
      <w:pPr>
        <w:ind w:left="360" w:hanging="360"/>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3"/>
        <w:szCs w:val="23"/>
      </w:rPr>
    </w:rPrDefault>
    <w:pPrDefault>
      <w:pPr>
        <w:spacing w:after="180" w:line="312"/>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360" w:before="120" w:line="240"/>
    </w:pPr>
    <w:rPr>
      <w:rFonts w:ascii="Georgia" w:cs="Georgia" w:eastAsia="Georgia" w:hAnsi="Georgia"/>
      <w:b/>
      <w:bCs/>
      <w:color w:val="1B221E"/>
      <w:sz w:val="52"/>
      <w:szCs w:val="52"/>
    </w:rPr>
  </w:style>
  <w:style w:type="paragraph" w:styleId="Heading1">
    <w:name w:val="Heading 1"/>
    <w:basedOn w:val="Normal"/>
    <w:next w:val="Normal"/>
    <w:qFormat/>
    <w:pPr>
      <w:keepNext/>
      <w:spacing w:after="120" w:before="360"/>
    </w:pPr>
    <w:rPr>
      <w:rFonts w:ascii="Georgia" w:cs="Georgia" w:eastAsia="Georgia" w:hAnsi="Georgia"/>
      <w:b/>
      <w:bCs/>
      <w:color w:val="1B221E"/>
      <w:sz w:val="32"/>
      <w:szCs w:val="32"/>
    </w:rPr>
  </w:style>
  <w:style w:type="paragraph" w:styleId="Heading2">
    <w:name w:val="Heading 2"/>
    <w:basedOn w:val="Normal"/>
    <w:next w:val="Normal"/>
    <w:qFormat/>
    <w:pPr>
      <w:keepNext/>
      <w:spacing w:after="100" w:before="240"/>
    </w:pPr>
    <w:rPr>
      <w:rFonts w:ascii="Georgia" w:cs="Georgia" w:eastAsia="Georgia" w:hAnsi="Georgia"/>
      <w:b/>
      <w:bCs/>
      <w:color w:val="1B221E"/>
      <w:sz w:val="26"/>
      <w:szCs w:val="26"/>
    </w:rPr>
  </w:style>
  <w:style w:type="paragraph" w:styleId="PullQuote">
    <w:name w:val="Pull Quote"/>
    <w:basedOn w:val="Normal"/>
    <w:next w:val="Normal"/>
    <w:pPr>
      <w:pBdr>
        <w:left w:val="single" w:color="93461F" w:sz="18" w:space="12"/>
      </w:pBdr>
      <w:spacing w:after="280" w:before="280" w:line="300"/>
      <w:ind w:left="360"/>
    </w:pPr>
    <w:rPr>
      <w:i/>
      <w:iCs/>
      <w:color w:val="1B221E"/>
      <w:sz w:val="28"/>
      <w:szCs w:val="28"/>
    </w:rPr>
  </w:style>
  <w:style w:type="paragraph" w:styleId="FactTitle">
    <w:name w:val="Fact Title"/>
    <w:basedOn w:val="Normal"/>
    <w:next w:val="FactText"/>
    <w:pPr>
      <w:spacing w:after="100"/>
    </w:pPr>
    <w:rPr>
      <w:rFonts w:ascii="Georgia" w:cs="Georgia" w:eastAsia="Georgia" w:hAnsi="Georgia"/>
      <w:b/>
      <w:bCs/>
      <w:color w:val="93461F"/>
      <w:sz w:val="26"/>
      <w:szCs w:val="26"/>
    </w:rPr>
  </w:style>
  <w:style w:type="paragraph" w:styleId="FactText">
    <w:name w:val="Fact Text"/>
    <w:basedOn w:val="Normal"/>
    <w:pPr>
      <w:spacing w:after="120" w:line="276"/>
    </w:pPr>
    <w:rPr>
      <w:rFonts w:ascii="Calibri" w:cs="Calibri" w:eastAsia="Calibri" w:hAnsi="Calibri"/>
      <w:sz w:val="21"/>
      <w:szCs w:val="21"/>
    </w:rPr>
  </w:style>
  <w:style w:type="paragraph" w:styleId="Small">
    <w:name w:val="Small"/>
    <w:basedOn w:val="Normal"/>
    <w:pPr>
      <w:spacing w:after="100" w:line="264"/>
    </w:pPr>
    <w:rPr>
      <w:rFonts w:ascii="Calibri" w:cs="Calibri" w:eastAsia="Calibri" w:hAnsi="Calibri"/>
      <w:sz w:val="19"/>
      <w:szCs w:val="19"/>
    </w:rPr>
  </w:style>
  <w:style w:type="character" w:styleId="Hyperlink">
    <w:name w:val="Hyperlink"/>
    <w:basedOn w:val="DefaultParagraphFont"/>
    <w:uiPriority w:val="99"/>
    <w:unhideWhenUsed/>
    <w:rPr>
      <w:color w:val="93461F"/>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a6h33v0ijxjwin68t3qle" Type="http://schemas.openxmlformats.org/officeDocument/2006/relationships/hyperlink" Target="https://doi.org/10.3897/zookeys.109.1439" TargetMode="External"/><Relationship Id="rIdhlnf37lajtmv4xu9bxf0q" Type="http://schemas.openxmlformats.org/officeDocument/2006/relationships/hyperlink" Target="https://doi.org/10.3724/sp.j.1245.2012.00114" TargetMode="External"/><Relationship Id="rIdxvr2vqfi3bjr9bjjyzj0r" Type="http://schemas.openxmlformats.org/officeDocument/2006/relationships/hyperlink" Target="https://doi.org/10.15560/9.4.752" TargetMode="External"/><Relationship Id="rIdsavjkklws5bndeu0yhkf_" Type="http://schemas.openxmlformats.org/officeDocument/2006/relationships/hyperlink" Target="https://doi.org/10.16373/j.cnki.ahr.140066" TargetMode="External"/><Relationship Id="rIdgz8nvyamytmp3eablcvhz" Type="http://schemas.openxmlformats.org/officeDocument/2006/relationships/hyperlink" Target="https://doi.org/10.1139/cjz-2022-0097" TargetMode="External"/><Relationship Id="rId8" Type="http://schemas.openxmlformats.org/officeDocument/2006/relationships/image" Target="media/beb4b9d3cb6ea2e51d276ce034c43e063668cecb.jpg"/><Relationship Id="rId9" Type="http://schemas.openxmlformats.org/officeDocument/2006/relationships/image" Target="media/43f8eac27e99e67ff7b4844ed17c4006f8606f2c.jpg"/><Relationship Id="rId10" Type="http://schemas.openxmlformats.org/officeDocument/2006/relationships/image" Target="media/9295844c15241094fbacf328c3ea6666da1f098b.jpg"/><Relationship Id="rId11" Type="http://schemas.openxmlformats.org/officeDocument/2006/relationships/image" Target="media/f18c6be62c0e36026dc340c4148c224904c7f595.jpg"/><Relationship Id="rId12" Type="http://schemas.openxmlformats.org/officeDocument/2006/relationships/image" Target="media/570ffdfefa39bf7b214e6a8006e34a548d1d31c2.jp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Blank Canvas Called Timor</dc:title>
  <dc:creator>Hinrich Kaiser</dc:creator>
  <dc:description>How a community-college field course became the first country-wide survey of frogs and reptiles in one of the world's youngest nations.</dc:description>
  <cp:lastModifiedBy>Un-named</cp:lastModifiedBy>
  <cp:revision>1</cp:revision>
  <dcterms:created xsi:type="dcterms:W3CDTF">2026-09-29T14:11:44.466Z</dcterms:created>
  <dcterms:modified xsi:type="dcterms:W3CDTF">2026-09-29T14:11:44.466Z</dcterms:modified>
</cp:coreProperties>
</file>

<file path=docProps/custom.xml><?xml version="1.0" encoding="utf-8"?>
<Properties xmlns="http://schemas.openxmlformats.org/officeDocument/2006/custom-properties" xmlns:vt="http://schemas.openxmlformats.org/officeDocument/2006/docPropsVTypes"/>
</file>